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2C" w:rsidRPr="006930EE" w:rsidRDefault="006930EE" w:rsidP="009D432C">
      <w:pPr>
        <w:pStyle w:val="Tekstpodstawowywcity"/>
        <w:spacing w:line="276" w:lineRule="auto"/>
        <w:ind w:firstLine="0"/>
        <w:jc w:val="center"/>
        <w:rPr>
          <w:rFonts w:ascii="Comic Sans MS" w:hAnsi="Comic Sans MS"/>
          <w:b/>
        </w:rPr>
      </w:pPr>
      <w:r w:rsidRPr="006930EE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-113030</wp:posOffset>
            </wp:positionV>
            <wp:extent cx="795020" cy="733425"/>
            <wp:effectExtent l="0" t="0" r="0" b="0"/>
            <wp:wrapSquare wrapText="right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0CC0">
        <w:rPr>
          <w:rFonts w:ascii="Comic Sans MS" w:hAnsi="Comic Sans MS"/>
          <w:b/>
        </w:rPr>
        <w:t xml:space="preserve"> </w:t>
      </w:r>
      <w:r w:rsidR="009D432C" w:rsidRPr="006930EE">
        <w:rPr>
          <w:rFonts w:ascii="Comic Sans MS" w:hAnsi="Comic Sans MS"/>
          <w:b/>
        </w:rPr>
        <w:t>OŚRODEK INTERWENCJI KRYZYSOWEJ</w:t>
      </w:r>
    </w:p>
    <w:p w:rsidR="009D432C" w:rsidRDefault="009D432C" w:rsidP="009D432C">
      <w:pPr>
        <w:pStyle w:val="Tekstpodstawowywcity"/>
        <w:pBdr>
          <w:bottom w:val="single" w:sz="4" w:space="1" w:color="auto"/>
        </w:pBdr>
        <w:spacing w:line="276" w:lineRule="auto"/>
        <w:ind w:firstLine="0"/>
        <w:jc w:val="center"/>
        <w:rPr>
          <w:rFonts w:ascii="Comic Sans MS" w:hAnsi="Comic Sans MS"/>
        </w:rPr>
      </w:pPr>
      <w:r w:rsidRPr="0006539D">
        <w:rPr>
          <w:rFonts w:ascii="Comic Sans MS" w:hAnsi="Comic Sans MS"/>
        </w:rPr>
        <w:t>ul. Żwirki i Wigury 2, 22-600 T</w:t>
      </w:r>
      <w:r>
        <w:rPr>
          <w:rFonts w:ascii="Comic Sans MS" w:hAnsi="Comic Sans MS"/>
        </w:rPr>
        <w:t>omaszów Lub., tel./ fax 84</w:t>
      </w:r>
      <w:r w:rsidRPr="0006539D">
        <w:rPr>
          <w:rFonts w:ascii="Comic Sans MS" w:hAnsi="Comic Sans MS"/>
        </w:rPr>
        <w:t xml:space="preserve"> 663 42 98</w:t>
      </w:r>
    </w:p>
    <w:p w:rsidR="006930EE" w:rsidRPr="0006539D" w:rsidRDefault="00845B8C" w:rsidP="009D432C">
      <w:pPr>
        <w:pStyle w:val="Tekstpodstawowywcity"/>
        <w:pBdr>
          <w:bottom w:val="single" w:sz="4" w:space="1" w:color="auto"/>
        </w:pBdr>
        <w:spacing w:line="276" w:lineRule="auto"/>
        <w:ind w:firstLine="0"/>
        <w:jc w:val="center"/>
        <w:rPr>
          <w:rFonts w:ascii="Comic Sans MS" w:hAnsi="Comic Sans MS"/>
        </w:rPr>
      </w:pPr>
      <w:hyperlink r:id="rId10" w:history="1">
        <w:r w:rsidR="006930EE" w:rsidRPr="00CD78F0">
          <w:rPr>
            <w:rStyle w:val="Hipercze"/>
            <w:rFonts w:ascii="Comic Sans MS" w:hAnsi="Comic Sans MS"/>
          </w:rPr>
          <w:t>oik.tomaszow@interia.pl</w:t>
        </w:r>
      </w:hyperlink>
      <w:r w:rsidR="006930EE">
        <w:rPr>
          <w:rFonts w:ascii="Comic Sans MS" w:hAnsi="Comic Sans MS"/>
        </w:rPr>
        <w:t>; oik.powiat-tomaszowski.com.pl</w:t>
      </w:r>
      <w:r w:rsidR="001B46D5">
        <w:rPr>
          <w:rFonts w:ascii="Comic Sans MS" w:hAnsi="Comic Sans MS"/>
        </w:rPr>
        <w:t>;</w:t>
      </w:r>
    </w:p>
    <w:p w:rsidR="009D432C" w:rsidRDefault="009D432C" w:rsidP="009D432C">
      <w:pPr>
        <w:spacing w:line="360" w:lineRule="auto"/>
        <w:jc w:val="right"/>
      </w:pPr>
    </w:p>
    <w:p w:rsidR="009D432C" w:rsidRPr="00FA2557" w:rsidRDefault="009D432C" w:rsidP="009D432C">
      <w:pPr>
        <w:spacing w:line="360" w:lineRule="auto"/>
        <w:jc w:val="right"/>
      </w:pPr>
      <w:r w:rsidRPr="00FA2557">
        <w:t xml:space="preserve">Tomaszów Lubelski, </w:t>
      </w:r>
      <w:r w:rsidR="0019334E">
        <w:t>24</w:t>
      </w:r>
      <w:r w:rsidR="00E9707B">
        <w:t>.05.201</w:t>
      </w:r>
      <w:r w:rsidR="007A4D92">
        <w:t>9</w:t>
      </w:r>
      <w:r w:rsidR="0021213A">
        <w:t xml:space="preserve"> r.</w:t>
      </w:r>
    </w:p>
    <w:p w:rsidR="009D432C" w:rsidRDefault="009D432C" w:rsidP="009D432C">
      <w:pPr>
        <w:spacing w:line="360" w:lineRule="auto"/>
        <w:jc w:val="center"/>
        <w:rPr>
          <w:b/>
          <w:sz w:val="28"/>
          <w:szCs w:val="28"/>
        </w:rPr>
      </w:pPr>
    </w:p>
    <w:p w:rsidR="009D432C" w:rsidRPr="00E462D9" w:rsidRDefault="009D432C" w:rsidP="009D432C">
      <w:pPr>
        <w:spacing w:line="360" w:lineRule="auto"/>
        <w:jc w:val="center"/>
        <w:rPr>
          <w:b/>
          <w:sz w:val="28"/>
          <w:szCs w:val="28"/>
        </w:rPr>
      </w:pPr>
      <w:r w:rsidRPr="00E462D9">
        <w:rPr>
          <w:b/>
          <w:sz w:val="28"/>
          <w:szCs w:val="28"/>
        </w:rPr>
        <w:t xml:space="preserve">ZJAWISKO PRZEMOCY W RODZINIE </w:t>
      </w:r>
      <w:r w:rsidR="001202D4">
        <w:rPr>
          <w:b/>
          <w:sz w:val="28"/>
          <w:szCs w:val="28"/>
        </w:rPr>
        <w:t>W ROKU 2018</w:t>
      </w:r>
    </w:p>
    <w:p w:rsidR="009D432C" w:rsidRPr="00E462D9" w:rsidRDefault="009D432C" w:rsidP="009D432C">
      <w:pPr>
        <w:spacing w:line="360" w:lineRule="auto"/>
        <w:jc w:val="center"/>
        <w:rPr>
          <w:b/>
          <w:sz w:val="28"/>
          <w:szCs w:val="28"/>
        </w:rPr>
      </w:pPr>
      <w:r w:rsidRPr="00E462D9">
        <w:rPr>
          <w:b/>
          <w:sz w:val="28"/>
          <w:szCs w:val="28"/>
        </w:rPr>
        <w:t>w praktyce zespołów interdyscyplinarnych</w:t>
      </w:r>
      <w:r w:rsidR="00267184" w:rsidRPr="00E462D9">
        <w:rPr>
          <w:b/>
          <w:sz w:val="28"/>
          <w:szCs w:val="28"/>
        </w:rPr>
        <w:t xml:space="preserve"> </w:t>
      </w:r>
      <w:r w:rsidRPr="00E462D9">
        <w:rPr>
          <w:b/>
          <w:sz w:val="28"/>
          <w:szCs w:val="28"/>
        </w:rPr>
        <w:t>z</w:t>
      </w:r>
      <w:r w:rsidR="00267184" w:rsidRPr="00E462D9">
        <w:rPr>
          <w:b/>
          <w:sz w:val="28"/>
          <w:szCs w:val="28"/>
        </w:rPr>
        <w:t xml:space="preserve"> </w:t>
      </w:r>
      <w:r w:rsidRPr="00E462D9">
        <w:rPr>
          <w:b/>
          <w:sz w:val="28"/>
          <w:szCs w:val="28"/>
        </w:rPr>
        <w:t xml:space="preserve">powiatu tomaszowskiego </w:t>
      </w:r>
    </w:p>
    <w:p w:rsidR="009D432C" w:rsidRPr="00E462D9" w:rsidRDefault="009D432C" w:rsidP="009D432C">
      <w:pPr>
        <w:spacing w:line="360" w:lineRule="auto"/>
        <w:jc w:val="center"/>
        <w:rPr>
          <w:b/>
          <w:sz w:val="28"/>
          <w:szCs w:val="28"/>
        </w:rPr>
      </w:pPr>
    </w:p>
    <w:p w:rsidR="009D432C" w:rsidRPr="00E462D9" w:rsidRDefault="009D432C" w:rsidP="009D432C">
      <w:pPr>
        <w:spacing w:line="360" w:lineRule="auto"/>
        <w:jc w:val="both"/>
      </w:pPr>
      <w:r w:rsidRPr="00E462D9">
        <w:tab/>
        <w:t>Diagnoza dotycząca rozmiarów zjawiska przemocy w rodzinie na obszarze powiatu tomaszowskiego</w:t>
      </w:r>
      <w:r w:rsidR="00F65AA4">
        <w:t xml:space="preserve"> w roku 2018</w:t>
      </w:r>
      <w:r w:rsidRPr="00E462D9">
        <w:t xml:space="preserve"> opracowana została w oparciu o informacje pochodzące </w:t>
      </w:r>
      <w:r w:rsidRPr="00E462D9">
        <w:br/>
        <w:t>z ankiet rozesłanych do Zespołów Interdyscyplinarnych ds. Przeciwdziałania Przemocy</w:t>
      </w:r>
      <w:r w:rsidRPr="00E462D9">
        <w:br/>
        <w:t xml:space="preserve">w Rodzinie działających w gminach </w:t>
      </w:r>
      <w:r w:rsidR="00E462D9" w:rsidRPr="00E462D9">
        <w:t>na terenie</w:t>
      </w:r>
      <w:r w:rsidRPr="00E462D9">
        <w:t xml:space="preserve"> powiatu </w:t>
      </w:r>
      <w:r w:rsidR="00E462D9" w:rsidRPr="00E462D9">
        <w:t xml:space="preserve">tomaszowskiego </w:t>
      </w:r>
      <w:r w:rsidRPr="00E462D9">
        <w:t xml:space="preserve">tj.: </w:t>
      </w:r>
    </w:p>
    <w:p w:rsidR="009D432C" w:rsidRPr="00E462D9" w:rsidRDefault="009D432C" w:rsidP="009D432C">
      <w:pPr>
        <w:spacing w:line="360" w:lineRule="auto"/>
        <w:jc w:val="both"/>
      </w:pPr>
      <w:r w:rsidRPr="00E462D9">
        <w:t>- Zespołu Interdyscyplinarnego ds. Przeciwdziałania Przemocy w Rodzinie w mieście Tomaszów Lub.,</w:t>
      </w:r>
    </w:p>
    <w:p w:rsidR="009D432C" w:rsidRPr="00E462D9" w:rsidRDefault="009D432C" w:rsidP="009D432C">
      <w:pPr>
        <w:spacing w:line="360" w:lineRule="auto"/>
        <w:jc w:val="both"/>
      </w:pPr>
      <w:r w:rsidRPr="00E462D9">
        <w:t>- Zespołu Interdyscyplinarnego ds. Przeciwdziałania Przemocy w Rodzinie w gminie</w:t>
      </w:r>
      <w:r w:rsidRPr="00E462D9">
        <w:br/>
        <w:t>Tomaszów Lub.,</w:t>
      </w:r>
    </w:p>
    <w:p w:rsidR="009D432C" w:rsidRPr="00E462D9" w:rsidRDefault="009D432C" w:rsidP="009D432C">
      <w:pPr>
        <w:spacing w:line="360" w:lineRule="auto"/>
        <w:jc w:val="both"/>
      </w:pPr>
      <w:r w:rsidRPr="00E462D9">
        <w:t xml:space="preserve">- Zespołu Interdyscyplinarnego ds. Przeciwdziałania Przemocy w Rodzinie w Tyszowcach, </w:t>
      </w:r>
    </w:p>
    <w:p w:rsidR="009D432C" w:rsidRPr="00E462D9" w:rsidRDefault="009D432C" w:rsidP="009D432C">
      <w:pPr>
        <w:spacing w:line="360" w:lineRule="auto"/>
        <w:jc w:val="both"/>
      </w:pPr>
      <w:r w:rsidRPr="00E462D9">
        <w:t>- Zespołu Interdyscyplinarnego ds. Przeciwdziałania Przemocy w Rodzinie w Łaszczowie,</w:t>
      </w:r>
    </w:p>
    <w:p w:rsidR="009D432C" w:rsidRPr="00E462D9" w:rsidRDefault="009D432C" w:rsidP="009D432C">
      <w:pPr>
        <w:spacing w:line="360" w:lineRule="auto"/>
        <w:jc w:val="both"/>
      </w:pPr>
      <w:r w:rsidRPr="00E462D9">
        <w:t xml:space="preserve">- Zespołu Interdyscyplinarnego ds. Przeciwdziałania Przemocy w Rodzinie w Lubyczy Królewskiej, </w:t>
      </w:r>
    </w:p>
    <w:p w:rsidR="009D432C" w:rsidRPr="00E462D9" w:rsidRDefault="009D432C" w:rsidP="009D432C">
      <w:pPr>
        <w:spacing w:line="360" w:lineRule="auto"/>
        <w:jc w:val="both"/>
      </w:pPr>
      <w:r w:rsidRPr="00E462D9">
        <w:t xml:space="preserve">- Zespołu Interdyscyplinarnego ds. Przeciwdziałania Przemocy w Rodzinie w Jarczowie, </w:t>
      </w:r>
    </w:p>
    <w:p w:rsidR="009D432C" w:rsidRPr="00E462D9" w:rsidRDefault="009D432C" w:rsidP="009D432C">
      <w:pPr>
        <w:spacing w:line="360" w:lineRule="auto"/>
        <w:jc w:val="both"/>
      </w:pPr>
      <w:r w:rsidRPr="00E462D9">
        <w:t xml:space="preserve">- Zespołu Interdyscyplinarnego ds. Przeciwdziałania Przemocy w Rodzinie w Ulhówku, </w:t>
      </w:r>
    </w:p>
    <w:p w:rsidR="009D432C" w:rsidRPr="00E462D9" w:rsidRDefault="009D432C" w:rsidP="009D432C">
      <w:pPr>
        <w:spacing w:line="360" w:lineRule="auto"/>
        <w:jc w:val="both"/>
      </w:pPr>
      <w:r w:rsidRPr="00E462D9">
        <w:t xml:space="preserve">- Zespołu Interdyscyplinarnego ds. Przeciwdziałania Przemocy w Rodzinie w Tarnawatce, </w:t>
      </w:r>
    </w:p>
    <w:p w:rsidR="009D432C" w:rsidRPr="00E462D9" w:rsidRDefault="009D432C" w:rsidP="009D432C">
      <w:pPr>
        <w:spacing w:line="360" w:lineRule="auto"/>
        <w:jc w:val="both"/>
      </w:pPr>
      <w:r w:rsidRPr="00E462D9">
        <w:t xml:space="preserve">- Zespołu Interdyscyplinarnego ds. Przeciwdziałania Przemocy w Rodzinie w Suścu, </w:t>
      </w:r>
    </w:p>
    <w:p w:rsidR="009D432C" w:rsidRPr="00E462D9" w:rsidRDefault="009D432C" w:rsidP="009D432C">
      <w:pPr>
        <w:spacing w:line="360" w:lineRule="auto"/>
        <w:jc w:val="both"/>
      </w:pPr>
      <w:r w:rsidRPr="00E462D9">
        <w:t xml:space="preserve">- Zespołu Interdyscyplinarnego ds. Przeciwdziałania Przemocy w Rodzinie w Krynicach, </w:t>
      </w:r>
    </w:p>
    <w:p w:rsidR="009D432C" w:rsidRPr="00E462D9" w:rsidRDefault="009D432C" w:rsidP="009D432C">
      <w:pPr>
        <w:spacing w:line="360" w:lineRule="auto"/>
        <w:jc w:val="both"/>
      </w:pPr>
      <w:r w:rsidRPr="00E462D9">
        <w:t xml:space="preserve">- Zespołu Interdyscyplinarnego ds. Przeciwdziałania Przemocy w Rodzinie w Telatynie, </w:t>
      </w:r>
    </w:p>
    <w:p w:rsidR="009D432C" w:rsidRPr="00E462D9" w:rsidRDefault="009D432C" w:rsidP="009D432C">
      <w:pPr>
        <w:spacing w:line="360" w:lineRule="auto"/>
        <w:jc w:val="both"/>
      </w:pPr>
      <w:r w:rsidRPr="00E462D9">
        <w:t xml:space="preserve">- Zespołu Interdyscyplinarnego ds. Przeciwdziałania Przemocy w Rodzinie w Rachaniach, </w:t>
      </w:r>
    </w:p>
    <w:p w:rsidR="009D432C" w:rsidRPr="00E462D9" w:rsidRDefault="009D432C" w:rsidP="009D432C">
      <w:pPr>
        <w:spacing w:line="360" w:lineRule="auto"/>
        <w:jc w:val="both"/>
      </w:pPr>
      <w:r w:rsidRPr="00E462D9">
        <w:t>- Zespołu Interdyscyplinarnego ds. Przeciwdziałania Przemocy w Rodzinie w Bełżcu,</w:t>
      </w:r>
    </w:p>
    <w:p w:rsidR="009D432C" w:rsidRPr="00E462D9" w:rsidRDefault="009D432C" w:rsidP="009D432C">
      <w:pPr>
        <w:spacing w:line="360" w:lineRule="auto"/>
        <w:jc w:val="both"/>
      </w:pPr>
      <w:r w:rsidRPr="00E462D9">
        <w:t xml:space="preserve">łącznie 13 Zespołów Interdyscyplinarnych ds. Przeciwdziałania Przemocy w Rodzinie </w:t>
      </w:r>
      <w:r w:rsidRPr="00E462D9">
        <w:br/>
        <w:t xml:space="preserve">(w dalszym opracowaniu określane jako ZI). </w:t>
      </w:r>
    </w:p>
    <w:p w:rsidR="009D432C" w:rsidRPr="00E462D9" w:rsidRDefault="009D432C" w:rsidP="009D432C">
      <w:pPr>
        <w:spacing w:line="360" w:lineRule="auto"/>
        <w:jc w:val="both"/>
      </w:pPr>
    </w:p>
    <w:p w:rsidR="009D432C" w:rsidRPr="00E462D9" w:rsidRDefault="009D432C" w:rsidP="009D432C">
      <w:pPr>
        <w:spacing w:line="360" w:lineRule="auto"/>
        <w:jc w:val="both"/>
      </w:pPr>
      <w:r w:rsidRPr="00E462D9">
        <w:lastRenderedPageBreak/>
        <w:tab/>
        <w:t xml:space="preserve">Analiza uzyskanych ankiet pozwala stwierdzić </w:t>
      </w:r>
      <w:r w:rsidR="00DE7C49" w:rsidRPr="00E462D9">
        <w:t>ob</w:t>
      </w:r>
      <w:r w:rsidR="00AB3F48" w:rsidRPr="00E462D9">
        <w:t>e</w:t>
      </w:r>
      <w:r w:rsidR="00DE7C49" w:rsidRPr="00E462D9">
        <w:t>cność</w:t>
      </w:r>
      <w:r w:rsidRPr="00E462D9">
        <w:t xml:space="preserve"> problemu przemocy domowej na terenie wszystkich gmin powiatu tomaszowskieg</w:t>
      </w:r>
      <w:r w:rsidR="00DE7C49" w:rsidRPr="00E462D9">
        <w:t>o. Każdy z ZI podejmował reakcję</w:t>
      </w:r>
      <w:r w:rsidRPr="00E462D9">
        <w:t xml:space="preserve"> na przypadki przemocy. </w:t>
      </w:r>
    </w:p>
    <w:p w:rsidR="00FE30AC" w:rsidRDefault="009D432C" w:rsidP="009D432C">
      <w:pPr>
        <w:spacing w:line="360" w:lineRule="auto"/>
        <w:jc w:val="both"/>
        <w:rPr>
          <w:color w:val="FF0000"/>
        </w:rPr>
      </w:pPr>
      <w:r w:rsidRPr="00E462D9">
        <w:tab/>
        <w:t>Porównanie</w:t>
      </w:r>
      <w:r w:rsidR="00A04128" w:rsidRPr="00E462D9">
        <w:t xml:space="preserve"> aktualnie</w:t>
      </w:r>
      <w:r w:rsidRPr="00E462D9">
        <w:t xml:space="preserve"> uzyskanych informacji wobec danych z </w:t>
      </w:r>
      <w:r w:rsidR="00AB3F48" w:rsidRPr="00E462D9">
        <w:t>poprzedniego</w:t>
      </w:r>
      <w:r w:rsidRPr="00E462D9">
        <w:t xml:space="preserve"> rok</w:t>
      </w:r>
      <w:r w:rsidR="00A04128" w:rsidRPr="00E462D9">
        <w:t xml:space="preserve">u, wykazuje </w:t>
      </w:r>
      <w:r w:rsidR="00EB4AC6">
        <w:t xml:space="preserve">stale </w:t>
      </w:r>
      <w:r w:rsidR="00E462D9" w:rsidRPr="00E462D9">
        <w:t>tendencję</w:t>
      </w:r>
      <w:r w:rsidR="005B7DA2" w:rsidRPr="00E462D9">
        <w:t xml:space="preserve"> wzrostową </w:t>
      </w:r>
      <w:r w:rsidR="00E462D9" w:rsidRPr="00E462D9">
        <w:t xml:space="preserve">w zakresie </w:t>
      </w:r>
      <w:r w:rsidR="00A04128" w:rsidRPr="00E462D9">
        <w:t xml:space="preserve">liczby rodzin objętych </w:t>
      </w:r>
      <w:r w:rsidR="00DE7C49" w:rsidRPr="00E462D9">
        <w:t>pomocą</w:t>
      </w:r>
      <w:r w:rsidR="00F65AA4">
        <w:t xml:space="preserve"> ZI. W 2018</w:t>
      </w:r>
      <w:r w:rsidR="00AB3F48" w:rsidRPr="00E462D9">
        <w:t xml:space="preserve"> roku</w:t>
      </w:r>
      <w:r w:rsidR="00EB4AC6">
        <w:t xml:space="preserve"> </w:t>
      </w:r>
      <w:r w:rsidR="00AB3F48" w:rsidRPr="00E462D9">
        <w:t xml:space="preserve">w zainteresowaniu zespołów </w:t>
      </w:r>
      <w:r w:rsidR="00AB3F48" w:rsidRPr="00D85134">
        <w:t>pozostawało</w:t>
      </w:r>
      <w:r w:rsidR="003D4F81">
        <w:t xml:space="preserve"> 329 rodzin, </w:t>
      </w:r>
      <w:r w:rsidR="00AB3F48" w:rsidRPr="00D85134">
        <w:t>za</w:t>
      </w:r>
      <w:r w:rsidR="005B7DA2" w:rsidRPr="00D85134">
        <w:t xml:space="preserve">ś – dla porównania – </w:t>
      </w:r>
      <w:r w:rsidR="00F65AA4">
        <w:t>w roku 2017-</w:t>
      </w:r>
      <w:r w:rsidR="00F65AA4" w:rsidRPr="00D85134">
        <w:t xml:space="preserve"> 275 rodzin</w:t>
      </w:r>
      <w:r w:rsidR="00F65AA4">
        <w:t>,</w:t>
      </w:r>
      <w:r w:rsidR="00F65AA4" w:rsidRPr="00D85134">
        <w:t xml:space="preserve"> </w:t>
      </w:r>
      <w:r w:rsidR="005B7DA2" w:rsidRPr="00D85134">
        <w:t>w roku 2016</w:t>
      </w:r>
      <w:r w:rsidR="00AB3F48" w:rsidRPr="00D85134">
        <w:t xml:space="preserve"> – </w:t>
      </w:r>
      <w:r w:rsidR="00A04128" w:rsidRPr="00D85134">
        <w:t xml:space="preserve"> </w:t>
      </w:r>
      <w:r w:rsidR="005B7DA2" w:rsidRPr="00D85134">
        <w:t>239</w:t>
      </w:r>
      <w:r w:rsidR="00EB0195" w:rsidRPr="00D85134">
        <w:t xml:space="preserve"> rodzin, w </w:t>
      </w:r>
      <w:r w:rsidR="00680FFB" w:rsidRPr="00D85134">
        <w:t xml:space="preserve">2015 – 246 </w:t>
      </w:r>
      <w:r w:rsidR="00297DF0" w:rsidRPr="00D85134">
        <w:t>rodzin, w 2014</w:t>
      </w:r>
      <w:r w:rsidR="00680FFB" w:rsidRPr="00D85134">
        <w:t xml:space="preserve"> –</w:t>
      </w:r>
      <w:r w:rsidR="00297DF0" w:rsidRPr="00D85134">
        <w:t>123</w:t>
      </w:r>
      <w:r w:rsidR="00EB4AC6">
        <w:t xml:space="preserve"> </w:t>
      </w:r>
      <w:r w:rsidR="00680FFB" w:rsidRPr="00D85134">
        <w:t>rodzin</w:t>
      </w:r>
      <w:r w:rsidR="00297DF0" w:rsidRPr="00D85134">
        <w:t>y</w:t>
      </w:r>
      <w:r w:rsidR="00EB0195" w:rsidRPr="00D85134">
        <w:t>.</w:t>
      </w:r>
      <w:r w:rsidR="00EB0195" w:rsidRPr="00EB0195">
        <w:rPr>
          <w:color w:val="FF0000"/>
        </w:rPr>
        <w:t xml:space="preserve"> </w:t>
      </w:r>
    </w:p>
    <w:p w:rsidR="00E628F0" w:rsidRDefault="00E628F0" w:rsidP="009D432C">
      <w:pPr>
        <w:spacing w:line="360" w:lineRule="auto"/>
        <w:jc w:val="both"/>
        <w:rPr>
          <w:color w:val="FF0000"/>
        </w:rPr>
      </w:pPr>
    </w:p>
    <w:p w:rsidR="004A730B" w:rsidRDefault="00D633B3" w:rsidP="009D432C">
      <w:pPr>
        <w:spacing w:line="360" w:lineRule="auto"/>
        <w:jc w:val="both"/>
        <w:rPr>
          <w:b/>
        </w:rPr>
      </w:pPr>
      <w:r>
        <w:rPr>
          <w:b/>
        </w:rPr>
        <w:t>Wykres Nr</w:t>
      </w:r>
      <w:r w:rsidR="004A730B" w:rsidRPr="00D85134">
        <w:rPr>
          <w:b/>
        </w:rPr>
        <w:t xml:space="preserve"> 1. Liczba rodzin objętych pomocą Z</w:t>
      </w:r>
      <w:r>
        <w:rPr>
          <w:b/>
        </w:rPr>
        <w:t xml:space="preserve">espołów </w:t>
      </w:r>
      <w:r w:rsidR="004A730B" w:rsidRPr="00D85134">
        <w:rPr>
          <w:b/>
        </w:rPr>
        <w:t>I</w:t>
      </w:r>
      <w:r>
        <w:rPr>
          <w:b/>
        </w:rPr>
        <w:t>nterdyscyplinarnych</w:t>
      </w:r>
      <w:r w:rsidR="004A730B" w:rsidRPr="00D85134">
        <w:rPr>
          <w:b/>
        </w:rPr>
        <w:t xml:space="preserve"> </w:t>
      </w:r>
      <w:r>
        <w:rPr>
          <w:b/>
        </w:rPr>
        <w:t xml:space="preserve">ds. przeciwdziałania przemocy w rodzinie w powiecie tomaszowskim </w:t>
      </w:r>
      <w:r w:rsidR="00F65AA4">
        <w:rPr>
          <w:b/>
        </w:rPr>
        <w:t>w latach 2014- 2018</w:t>
      </w:r>
    </w:p>
    <w:p w:rsidR="00114A4D" w:rsidRPr="00297DF0" w:rsidRDefault="00093118" w:rsidP="009D432C">
      <w:pPr>
        <w:spacing w:line="360" w:lineRule="auto"/>
        <w:jc w:val="both"/>
        <w:rPr>
          <w:b/>
          <w:color w:val="FF0000"/>
        </w:rPr>
      </w:pPr>
      <w:r w:rsidRPr="00114A4D">
        <w:rPr>
          <w:b/>
          <w:noProof/>
          <w:color w:val="FF0000"/>
          <w:shd w:val="clear" w:color="auto" w:fill="B6DDE8" w:themeFill="accent5" w:themeFillTint="66"/>
        </w:rPr>
        <w:drawing>
          <wp:inline distT="0" distB="0" distL="0" distR="0" wp14:anchorId="1119D2ED" wp14:editId="26BD804D">
            <wp:extent cx="5486400" cy="320040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644A2" w:rsidRDefault="004644A2" w:rsidP="009D432C">
      <w:pPr>
        <w:spacing w:line="360" w:lineRule="auto"/>
        <w:jc w:val="both"/>
        <w:rPr>
          <w:color w:val="FF0000"/>
        </w:rPr>
      </w:pPr>
    </w:p>
    <w:p w:rsidR="0054772F" w:rsidRPr="00D47FF7" w:rsidRDefault="0054772F" w:rsidP="009D432C">
      <w:pPr>
        <w:spacing w:line="360" w:lineRule="auto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4284"/>
      </w:tblGrid>
      <w:tr w:rsidR="0054569E" w:rsidRPr="00D47FF7" w:rsidTr="00D47FF7">
        <w:tc>
          <w:tcPr>
            <w:tcW w:w="1242" w:type="dxa"/>
          </w:tcPr>
          <w:p w:rsidR="0054569E" w:rsidRPr="00D47FF7" w:rsidRDefault="0054569E" w:rsidP="00D47FF7">
            <w:pPr>
              <w:jc w:val="center"/>
              <w:rPr>
                <w:b/>
              </w:rPr>
            </w:pPr>
            <w:r w:rsidRPr="00D47FF7">
              <w:rPr>
                <w:b/>
              </w:rPr>
              <w:t>Rok</w:t>
            </w:r>
          </w:p>
        </w:tc>
        <w:tc>
          <w:tcPr>
            <w:tcW w:w="3686" w:type="dxa"/>
          </w:tcPr>
          <w:p w:rsidR="0054569E" w:rsidRPr="00D47FF7" w:rsidRDefault="0054569E" w:rsidP="0054569E">
            <w:pPr>
              <w:rPr>
                <w:b/>
              </w:rPr>
            </w:pPr>
            <w:r w:rsidRPr="00D47FF7">
              <w:rPr>
                <w:b/>
              </w:rPr>
              <w:t xml:space="preserve">Liczbowy wzrost/spadek </w:t>
            </w:r>
            <w:r w:rsidR="00D47FF7">
              <w:rPr>
                <w:b/>
              </w:rPr>
              <w:br/>
            </w:r>
            <w:r w:rsidRPr="00D47FF7">
              <w:rPr>
                <w:b/>
              </w:rPr>
              <w:t>w stosunku do roku wcześniejszego</w:t>
            </w:r>
          </w:p>
        </w:tc>
        <w:tc>
          <w:tcPr>
            <w:tcW w:w="4284" w:type="dxa"/>
          </w:tcPr>
          <w:p w:rsidR="0054569E" w:rsidRPr="00D47FF7" w:rsidRDefault="0054569E" w:rsidP="0054569E">
            <w:pPr>
              <w:rPr>
                <w:b/>
              </w:rPr>
            </w:pPr>
            <w:r w:rsidRPr="00D47FF7">
              <w:rPr>
                <w:b/>
              </w:rPr>
              <w:t xml:space="preserve">Procentowy wzrost/spadek </w:t>
            </w:r>
            <w:r w:rsidR="00D47FF7">
              <w:rPr>
                <w:b/>
              </w:rPr>
              <w:br/>
            </w:r>
            <w:r w:rsidRPr="00D47FF7">
              <w:rPr>
                <w:b/>
              </w:rPr>
              <w:t>w stosunku do roku wcześniejszego</w:t>
            </w:r>
          </w:p>
        </w:tc>
      </w:tr>
      <w:tr w:rsidR="0054569E" w:rsidTr="00D47FF7">
        <w:tc>
          <w:tcPr>
            <w:tcW w:w="1242" w:type="dxa"/>
          </w:tcPr>
          <w:p w:rsidR="0054569E" w:rsidRPr="00D47FF7" w:rsidRDefault="0054569E" w:rsidP="00D47FF7">
            <w:pPr>
              <w:spacing w:line="360" w:lineRule="auto"/>
              <w:jc w:val="center"/>
              <w:rPr>
                <w:b/>
              </w:rPr>
            </w:pPr>
            <w:r w:rsidRPr="00D47FF7">
              <w:rPr>
                <w:b/>
              </w:rPr>
              <w:t>2015</w:t>
            </w:r>
          </w:p>
        </w:tc>
        <w:tc>
          <w:tcPr>
            <w:tcW w:w="3686" w:type="dxa"/>
          </w:tcPr>
          <w:p w:rsidR="0054569E" w:rsidRDefault="0054569E" w:rsidP="009D432C">
            <w:pPr>
              <w:spacing w:line="360" w:lineRule="auto"/>
              <w:jc w:val="both"/>
            </w:pPr>
            <w:r>
              <w:t>+123 rodziny</w:t>
            </w:r>
          </w:p>
        </w:tc>
        <w:tc>
          <w:tcPr>
            <w:tcW w:w="4284" w:type="dxa"/>
          </w:tcPr>
          <w:p w:rsidR="0054569E" w:rsidRDefault="0054569E" w:rsidP="009D432C">
            <w:pPr>
              <w:spacing w:line="360" w:lineRule="auto"/>
              <w:jc w:val="both"/>
            </w:pPr>
            <w:r>
              <w:t>100%</w:t>
            </w:r>
          </w:p>
        </w:tc>
      </w:tr>
      <w:tr w:rsidR="0054569E" w:rsidTr="00D47FF7">
        <w:tc>
          <w:tcPr>
            <w:tcW w:w="1242" w:type="dxa"/>
          </w:tcPr>
          <w:p w:rsidR="0054569E" w:rsidRPr="00D47FF7" w:rsidRDefault="0054569E" w:rsidP="00D47FF7">
            <w:pPr>
              <w:spacing w:line="360" w:lineRule="auto"/>
              <w:jc w:val="center"/>
              <w:rPr>
                <w:b/>
              </w:rPr>
            </w:pPr>
            <w:r w:rsidRPr="00D47FF7">
              <w:rPr>
                <w:b/>
              </w:rPr>
              <w:t>2016</w:t>
            </w:r>
          </w:p>
        </w:tc>
        <w:tc>
          <w:tcPr>
            <w:tcW w:w="3686" w:type="dxa"/>
          </w:tcPr>
          <w:p w:rsidR="0054569E" w:rsidRDefault="0054569E" w:rsidP="009D432C">
            <w:pPr>
              <w:spacing w:line="360" w:lineRule="auto"/>
              <w:jc w:val="both"/>
            </w:pPr>
            <w:r>
              <w:t>-7 rodzin</w:t>
            </w:r>
          </w:p>
        </w:tc>
        <w:tc>
          <w:tcPr>
            <w:tcW w:w="4284" w:type="dxa"/>
          </w:tcPr>
          <w:p w:rsidR="0054569E" w:rsidRDefault="0054569E" w:rsidP="009D432C">
            <w:pPr>
              <w:spacing w:line="360" w:lineRule="auto"/>
              <w:jc w:val="both"/>
            </w:pPr>
            <w:r>
              <w:t>-3%</w:t>
            </w:r>
          </w:p>
        </w:tc>
      </w:tr>
      <w:tr w:rsidR="0054569E" w:rsidTr="00D47FF7">
        <w:tc>
          <w:tcPr>
            <w:tcW w:w="1242" w:type="dxa"/>
          </w:tcPr>
          <w:p w:rsidR="0054569E" w:rsidRPr="00D47FF7" w:rsidRDefault="0054569E" w:rsidP="00D47FF7">
            <w:pPr>
              <w:spacing w:line="360" w:lineRule="auto"/>
              <w:jc w:val="center"/>
              <w:rPr>
                <w:b/>
              </w:rPr>
            </w:pPr>
            <w:r w:rsidRPr="00D47FF7">
              <w:rPr>
                <w:b/>
              </w:rPr>
              <w:t>2017</w:t>
            </w:r>
          </w:p>
        </w:tc>
        <w:tc>
          <w:tcPr>
            <w:tcW w:w="3686" w:type="dxa"/>
          </w:tcPr>
          <w:p w:rsidR="0054569E" w:rsidRDefault="0054569E" w:rsidP="009D432C">
            <w:pPr>
              <w:spacing w:line="360" w:lineRule="auto"/>
              <w:jc w:val="both"/>
            </w:pPr>
            <w:r>
              <w:t>+36 rodzin</w:t>
            </w:r>
          </w:p>
        </w:tc>
        <w:tc>
          <w:tcPr>
            <w:tcW w:w="4284" w:type="dxa"/>
          </w:tcPr>
          <w:p w:rsidR="0054569E" w:rsidRDefault="00D47FF7" w:rsidP="009D432C">
            <w:pPr>
              <w:spacing w:line="360" w:lineRule="auto"/>
              <w:jc w:val="both"/>
            </w:pPr>
            <w:r>
              <w:t>15%</w:t>
            </w:r>
          </w:p>
        </w:tc>
      </w:tr>
      <w:tr w:rsidR="0054569E" w:rsidTr="00D47FF7">
        <w:tc>
          <w:tcPr>
            <w:tcW w:w="1242" w:type="dxa"/>
          </w:tcPr>
          <w:p w:rsidR="0054569E" w:rsidRPr="00D47FF7" w:rsidRDefault="00D47FF7" w:rsidP="00D47FF7">
            <w:pPr>
              <w:spacing w:line="360" w:lineRule="auto"/>
              <w:jc w:val="center"/>
              <w:rPr>
                <w:b/>
              </w:rPr>
            </w:pPr>
            <w:r w:rsidRPr="00D47FF7">
              <w:rPr>
                <w:b/>
              </w:rPr>
              <w:t>2018</w:t>
            </w:r>
          </w:p>
        </w:tc>
        <w:tc>
          <w:tcPr>
            <w:tcW w:w="3686" w:type="dxa"/>
          </w:tcPr>
          <w:p w:rsidR="0054569E" w:rsidRDefault="00D47FF7" w:rsidP="009D432C">
            <w:pPr>
              <w:spacing w:line="360" w:lineRule="auto"/>
              <w:jc w:val="both"/>
            </w:pPr>
            <w:r>
              <w:t>+54 rodziny</w:t>
            </w:r>
          </w:p>
        </w:tc>
        <w:tc>
          <w:tcPr>
            <w:tcW w:w="4284" w:type="dxa"/>
          </w:tcPr>
          <w:p w:rsidR="0054569E" w:rsidRDefault="00D47FF7" w:rsidP="009D432C">
            <w:pPr>
              <w:spacing w:line="360" w:lineRule="auto"/>
              <w:jc w:val="both"/>
            </w:pPr>
            <w:r>
              <w:t>20%</w:t>
            </w:r>
          </w:p>
        </w:tc>
      </w:tr>
    </w:tbl>
    <w:p w:rsidR="0054772F" w:rsidRDefault="0054772F" w:rsidP="0054772F">
      <w:pPr>
        <w:spacing w:line="360" w:lineRule="auto"/>
        <w:jc w:val="both"/>
        <w:rPr>
          <w:b/>
        </w:rPr>
      </w:pPr>
      <w:r w:rsidRPr="00D47FF7">
        <w:rPr>
          <w:b/>
        </w:rPr>
        <w:t xml:space="preserve">Tab. 1. Liczbowy i procentowy wzrost/spadek zarejestrowanych przypadków przemocy </w:t>
      </w:r>
      <w:r w:rsidRPr="00D47FF7">
        <w:rPr>
          <w:b/>
        </w:rPr>
        <w:br/>
        <w:t>w gminach (porównanie rok do roku)</w:t>
      </w:r>
    </w:p>
    <w:p w:rsidR="00393791" w:rsidRPr="00A04128" w:rsidRDefault="0054772F" w:rsidP="00393791">
      <w:pPr>
        <w:spacing w:line="360" w:lineRule="auto"/>
        <w:jc w:val="both"/>
        <w:rPr>
          <w:b/>
        </w:rPr>
      </w:pPr>
      <w:r>
        <w:rPr>
          <w:b/>
        </w:rPr>
        <w:lastRenderedPageBreak/>
        <w:t>W</w:t>
      </w:r>
      <w:r w:rsidR="00393791">
        <w:rPr>
          <w:b/>
        </w:rPr>
        <w:t>ykres Nr</w:t>
      </w:r>
      <w:r w:rsidR="004A730B">
        <w:rPr>
          <w:b/>
        </w:rPr>
        <w:t xml:space="preserve"> 2</w:t>
      </w:r>
      <w:r w:rsidR="00393791" w:rsidRPr="00A04128">
        <w:rPr>
          <w:b/>
        </w:rPr>
        <w:t xml:space="preserve">. Liczba rodzin objętych pomocą ZI </w:t>
      </w:r>
      <w:r w:rsidR="00C049AE">
        <w:rPr>
          <w:b/>
        </w:rPr>
        <w:t>w gminach</w:t>
      </w:r>
      <w:r w:rsidR="00AB3F48">
        <w:rPr>
          <w:b/>
        </w:rPr>
        <w:t xml:space="preserve"> powiatu tomaszowskiego</w:t>
      </w:r>
      <w:r w:rsidR="00E70C09">
        <w:rPr>
          <w:b/>
        </w:rPr>
        <w:t xml:space="preserve"> w 2018 roku</w:t>
      </w:r>
    </w:p>
    <w:p w:rsidR="00393791" w:rsidRDefault="009208BA" w:rsidP="00393791">
      <w:pPr>
        <w:spacing w:line="360" w:lineRule="auto"/>
        <w:jc w:val="both"/>
      </w:pPr>
      <w:r>
        <w:rPr>
          <w:noProof/>
        </w:rPr>
        <w:drawing>
          <wp:inline distT="0" distB="0" distL="0" distR="0" wp14:anchorId="6233B740" wp14:editId="7509FF31">
            <wp:extent cx="5760720" cy="42926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93791" w:rsidRDefault="00393791" w:rsidP="009D432C">
      <w:pPr>
        <w:spacing w:line="360" w:lineRule="auto"/>
        <w:jc w:val="both"/>
      </w:pPr>
    </w:p>
    <w:p w:rsidR="005B7DA2" w:rsidRPr="00046F7F" w:rsidRDefault="00F65AA4" w:rsidP="00046F7F">
      <w:pPr>
        <w:ind w:firstLine="708"/>
      </w:pPr>
      <w:r>
        <w:t>W 2018</w:t>
      </w:r>
      <w:r w:rsidR="005B7DA2" w:rsidRPr="00046F7F">
        <w:t xml:space="preserve"> roku </w:t>
      </w:r>
      <w:r w:rsidR="00937C66">
        <w:t xml:space="preserve">zakończono łącznie </w:t>
      </w:r>
      <w:r w:rsidR="003D4F81">
        <w:t>237</w:t>
      </w:r>
      <w:r w:rsidR="00046F7F" w:rsidRPr="00046F7F">
        <w:t xml:space="preserve"> procedur</w:t>
      </w:r>
      <w:r w:rsidR="005B7DA2" w:rsidRPr="00046F7F">
        <w:t xml:space="preserve">  Niebieskie Karty</w:t>
      </w:r>
      <w:r w:rsidR="00046F7F" w:rsidRPr="00046F7F">
        <w:t xml:space="preserve">, </w:t>
      </w:r>
      <w:r w:rsidR="005B7DA2" w:rsidRPr="00046F7F">
        <w:t>w tym z powodu:</w:t>
      </w:r>
    </w:p>
    <w:p w:rsidR="005B7DA2" w:rsidRPr="00046F7F" w:rsidRDefault="005B7DA2" w:rsidP="005B7DA2"/>
    <w:p w:rsidR="005B7DA2" w:rsidRPr="00046F7F" w:rsidRDefault="005B7DA2" w:rsidP="009D432C">
      <w:pPr>
        <w:spacing w:line="360" w:lineRule="auto"/>
        <w:jc w:val="both"/>
      </w:pPr>
      <w:r w:rsidRPr="00046F7F">
        <w:t xml:space="preserve">- Ustania przemocy w rodzinie i uzasadnionego przypuszczenia o zaprzestaniu dalszego stosowania przemocy w rodzinie oraz po zrealizowaniu  indywidualnego planu pomocy </w:t>
      </w:r>
      <w:r w:rsidR="00046F7F" w:rsidRPr="00046F7F">
        <w:t>–</w:t>
      </w:r>
      <w:r w:rsidR="00937C66">
        <w:t xml:space="preserve"> 147 przypadków (tj. </w:t>
      </w:r>
      <w:r w:rsidR="003D4F81">
        <w:t xml:space="preserve">62 </w:t>
      </w:r>
      <w:r w:rsidR="00046F7F" w:rsidRPr="00046F7F">
        <w:t>% zakończonych postępowań),</w:t>
      </w:r>
    </w:p>
    <w:p w:rsidR="005B7DA2" w:rsidRPr="00046F7F" w:rsidRDefault="005B7DA2" w:rsidP="009D432C">
      <w:pPr>
        <w:spacing w:line="360" w:lineRule="auto"/>
        <w:jc w:val="both"/>
      </w:pPr>
      <w:r w:rsidRPr="00046F7F">
        <w:t xml:space="preserve">- Rozstrzygnięcia o braku zasadności podejmowania działań </w:t>
      </w:r>
      <w:r w:rsidR="00046F7F" w:rsidRPr="00046F7F">
        <w:t>–</w:t>
      </w:r>
      <w:r w:rsidR="00F65AA4">
        <w:t xml:space="preserve"> 90</w:t>
      </w:r>
      <w:r w:rsidR="00937C66">
        <w:t xml:space="preserve"> przypadków (tj. </w:t>
      </w:r>
      <w:r w:rsidR="003D4F81">
        <w:t xml:space="preserve">38 </w:t>
      </w:r>
      <w:r w:rsidR="00046F7F" w:rsidRPr="00046F7F">
        <w:t>% zakończonych postępowań).</w:t>
      </w:r>
    </w:p>
    <w:p w:rsidR="009D432C" w:rsidRPr="00310774" w:rsidRDefault="00AB3F48" w:rsidP="000C503A">
      <w:pPr>
        <w:spacing w:line="360" w:lineRule="auto"/>
        <w:ind w:firstLine="708"/>
        <w:jc w:val="both"/>
      </w:pPr>
      <w:r w:rsidRPr="00310774">
        <w:t>Nadal główną</w:t>
      </w:r>
      <w:r w:rsidR="00AF528C" w:rsidRPr="00310774">
        <w:t xml:space="preserve"> formą przemocy </w:t>
      </w:r>
      <w:r w:rsidR="00046F7F" w:rsidRPr="00310774">
        <w:t>odnotow</w:t>
      </w:r>
      <w:r w:rsidR="008C7DB9">
        <w:t>yw</w:t>
      </w:r>
      <w:r w:rsidR="00046F7F" w:rsidRPr="00310774">
        <w:t>aną</w:t>
      </w:r>
      <w:r w:rsidR="00AF528C" w:rsidRPr="00310774">
        <w:t xml:space="preserve"> przez wszystkie Zespoły Interdyscyplinarne była przemoc psychiczna (izolacja, wyśmiewanie, ośmieszanie, groźby, kontrolowanie, ograniczanie kontaktów, krytykowanie, poniżanie, demoralizacja, ciągłe niepokojenie), która dotyczyła</w:t>
      </w:r>
      <w:r w:rsidR="008D709B">
        <w:t xml:space="preserve"> aż 279</w:t>
      </w:r>
      <w:r w:rsidR="00AF528C" w:rsidRPr="00310774">
        <w:t xml:space="preserve"> rodzin objętych </w:t>
      </w:r>
      <w:r w:rsidR="00DC4F3A" w:rsidRPr="00310774">
        <w:t>pomocą</w:t>
      </w:r>
      <w:r w:rsidR="00AF528C" w:rsidRPr="00310774">
        <w:t xml:space="preserve"> ZI.</w:t>
      </w:r>
    </w:p>
    <w:p w:rsidR="00AF528C" w:rsidRPr="0021213A" w:rsidRDefault="008D709B" w:rsidP="009D432C">
      <w:pPr>
        <w:spacing w:line="360" w:lineRule="auto"/>
        <w:jc w:val="both"/>
      </w:pPr>
      <w:r>
        <w:tab/>
        <w:t>Problemem dotykającym 144</w:t>
      </w:r>
      <w:r w:rsidR="007E2C8E" w:rsidRPr="00310774">
        <w:t xml:space="preserve"> rodzin</w:t>
      </w:r>
      <w:r w:rsidR="005464C5">
        <w:t>y objęte</w:t>
      </w:r>
      <w:r w:rsidR="00AF528C" w:rsidRPr="00310774">
        <w:t xml:space="preserve"> pomocą ZI na terenie po</w:t>
      </w:r>
      <w:r>
        <w:t>wiatu tomaszowskiego w roku 2018</w:t>
      </w:r>
      <w:r w:rsidR="00AF528C" w:rsidRPr="00310774">
        <w:t xml:space="preserve"> była przemoc fizyczna, do której zaliczamy popychanie, uderzanie, wykręcanie rąk, duszenie, kopanie, spoliczkowanie i inne</w:t>
      </w:r>
      <w:r w:rsidR="00046F7F" w:rsidRPr="00310774">
        <w:t xml:space="preserve">. W </w:t>
      </w:r>
      <w:r>
        <w:t>2</w:t>
      </w:r>
      <w:r w:rsidR="007E2C8E" w:rsidRPr="00310774">
        <w:t xml:space="preserve">9 </w:t>
      </w:r>
      <w:r w:rsidR="00046F7F" w:rsidRPr="00310774">
        <w:t xml:space="preserve">przypadkach </w:t>
      </w:r>
      <w:r w:rsidR="00046F7F" w:rsidRPr="00310774">
        <w:lastRenderedPageBreak/>
        <w:t>doszło do</w:t>
      </w:r>
      <w:r w:rsidR="007E2C8E" w:rsidRPr="00310774">
        <w:t xml:space="preserve"> uszkodzeń ciała (zasinienia</w:t>
      </w:r>
      <w:r w:rsidR="00310774" w:rsidRPr="00310774">
        <w:t>,</w:t>
      </w:r>
      <w:r w:rsidR="007E2C8E" w:rsidRPr="00310774">
        <w:t xml:space="preserve"> zadrapania, krwawienia, oparzenia, inne)</w:t>
      </w:r>
      <w:r w:rsidR="00AF528C" w:rsidRPr="00310774">
        <w:t>.</w:t>
      </w:r>
      <w:r>
        <w:t xml:space="preserve"> Stwierdzono również 88 przypadków</w:t>
      </w:r>
      <w:r w:rsidR="00AF528C" w:rsidRPr="00310774">
        <w:t xml:space="preserve"> </w:t>
      </w:r>
      <w:r>
        <w:t>stosowania</w:t>
      </w:r>
      <w:r w:rsidR="00DC4F3A" w:rsidRPr="00310774">
        <w:t xml:space="preserve"> innych</w:t>
      </w:r>
      <w:r w:rsidR="00AF528C" w:rsidRPr="00310774">
        <w:t xml:space="preserve"> form przemocy</w:t>
      </w:r>
      <w:r w:rsidR="00DC4F3A" w:rsidRPr="00310774">
        <w:t xml:space="preserve"> – w tym </w:t>
      </w:r>
      <w:r w:rsidR="00046F7F" w:rsidRPr="00310774">
        <w:t xml:space="preserve">przemocy </w:t>
      </w:r>
      <w:r w:rsidR="00DC4F3A" w:rsidRPr="00310774">
        <w:t xml:space="preserve">ekonomicznej </w:t>
      </w:r>
      <w:r w:rsidR="00AF528C" w:rsidRPr="00310774">
        <w:t>(</w:t>
      </w:r>
      <w:r w:rsidR="00094C24" w:rsidRPr="00310774">
        <w:t>niszczenie/ uszkodzenie mienia</w:t>
      </w:r>
      <w:r w:rsidR="00046F7F" w:rsidRPr="00310774">
        <w:t>, zabór/ przywłaszczenie mienia), gróźb karalnych</w:t>
      </w:r>
      <w:r w:rsidR="0021213A">
        <w:br/>
      </w:r>
      <w:r w:rsidR="00046F7F" w:rsidRPr="00310774">
        <w:t>i znieważania oraz demoralizacji (</w:t>
      </w:r>
      <w:r w:rsidR="00094C24" w:rsidRPr="00310774">
        <w:t xml:space="preserve">zmuszanie do picia alkoholu, zmuszanie do zażywania środków odurzających lub substancji psychotropowych oraz niezleconych przez lekarzy leków). </w:t>
      </w:r>
      <w:r>
        <w:t>W 5</w:t>
      </w:r>
      <w:r w:rsidR="00094C24" w:rsidRPr="00310774">
        <w:t xml:space="preserve"> przypadkach można mówić o przemocy seksualnej w postaci zmuszania</w:t>
      </w:r>
      <w:r w:rsidR="0021213A">
        <w:br/>
      </w:r>
      <w:r w:rsidR="00094C24" w:rsidRPr="00310774">
        <w:t>do obcowania płciowego i innych czynności seksualnych.</w:t>
      </w:r>
    </w:p>
    <w:p w:rsidR="004644A2" w:rsidRDefault="004644A2" w:rsidP="009D432C">
      <w:pPr>
        <w:spacing w:line="360" w:lineRule="auto"/>
        <w:jc w:val="both"/>
      </w:pPr>
    </w:p>
    <w:p w:rsidR="00393791" w:rsidRPr="00094C24" w:rsidRDefault="004A730B" w:rsidP="00393791">
      <w:pPr>
        <w:spacing w:line="360" w:lineRule="auto"/>
        <w:jc w:val="both"/>
        <w:rPr>
          <w:b/>
        </w:rPr>
      </w:pPr>
      <w:r>
        <w:rPr>
          <w:b/>
        </w:rPr>
        <w:t>Wykres Nr 3</w:t>
      </w:r>
      <w:r w:rsidR="00393791" w:rsidRPr="00094C24">
        <w:rPr>
          <w:b/>
        </w:rPr>
        <w:t>. Przejawy przemocy domowej</w:t>
      </w:r>
    </w:p>
    <w:p w:rsidR="00393791" w:rsidRDefault="009208BA" w:rsidP="00393791">
      <w:pPr>
        <w:spacing w:line="360" w:lineRule="auto"/>
        <w:jc w:val="both"/>
      </w:pPr>
      <w:r>
        <w:rPr>
          <w:noProof/>
        </w:rPr>
        <w:drawing>
          <wp:inline distT="0" distB="0" distL="0" distR="0" wp14:anchorId="3520C22D" wp14:editId="44C61AA7">
            <wp:extent cx="5677232" cy="3514477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F528C" w:rsidRDefault="00AF528C" w:rsidP="009D432C">
      <w:pPr>
        <w:spacing w:line="360" w:lineRule="auto"/>
        <w:jc w:val="both"/>
      </w:pPr>
    </w:p>
    <w:p w:rsidR="00DC127A" w:rsidRPr="00AF528C" w:rsidRDefault="00DC127A" w:rsidP="009D432C">
      <w:pPr>
        <w:spacing w:line="360" w:lineRule="auto"/>
        <w:jc w:val="both"/>
      </w:pPr>
    </w:p>
    <w:p w:rsidR="005B369D" w:rsidRPr="00E56927" w:rsidRDefault="009D432C" w:rsidP="009D432C">
      <w:pPr>
        <w:spacing w:line="360" w:lineRule="auto"/>
        <w:jc w:val="both"/>
      </w:pPr>
      <w:r w:rsidRPr="00E56927">
        <w:tab/>
      </w:r>
      <w:r w:rsidR="00393791" w:rsidRPr="00E56927">
        <w:t xml:space="preserve">Analiza ankiet wykazała, że w zdecydowanej większości, to kobiety </w:t>
      </w:r>
      <w:r w:rsidR="00310774" w:rsidRPr="00E56927">
        <w:t>doznają</w:t>
      </w:r>
      <w:r w:rsidR="008D709B">
        <w:t xml:space="preserve"> przemocy domowej. Aż 298</w:t>
      </w:r>
      <w:r w:rsidR="00393791" w:rsidRPr="00E56927">
        <w:t xml:space="preserve"> </w:t>
      </w:r>
      <w:r w:rsidR="00121121" w:rsidRPr="00E56927">
        <w:t>kobiet</w:t>
      </w:r>
      <w:r w:rsidR="00393791" w:rsidRPr="00E56927">
        <w:t xml:space="preserve"> doś</w:t>
      </w:r>
      <w:r w:rsidR="00310774" w:rsidRPr="00E56927">
        <w:t>wiadczało różnych form przemocy</w:t>
      </w:r>
      <w:r w:rsidR="00393791" w:rsidRPr="00E56927">
        <w:t xml:space="preserve"> we </w:t>
      </w:r>
      <w:r w:rsidR="00D17224" w:rsidRPr="00E56927">
        <w:t xml:space="preserve">wszystkich </w:t>
      </w:r>
      <w:r w:rsidR="00393791" w:rsidRPr="00E56927">
        <w:t xml:space="preserve"> przypadkach </w:t>
      </w:r>
      <w:r w:rsidR="007151A2" w:rsidRPr="00E56927">
        <w:t>rodzin objętych opieką ZI</w:t>
      </w:r>
      <w:r w:rsidR="00310774" w:rsidRPr="00E56927">
        <w:t>,</w:t>
      </w:r>
      <w:r w:rsidR="007151A2" w:rsidRPr="00E56927">
        <w:t xml:space="preserve"> co stanowi </w:t>
      </w:r>
      <w:r w:rsidR="002A7B86">
        <w:t>blisko 72</w:t>
      </w:r>
      <w:r w:rsidR="007151A2" w:rsidRPr="00E56927">
        <w:t xml:space="preserve">% wszystkich </w:t>
      </w:r>
      <w:r w:rsidR="00121121" w:rsidRPr="00E56927">
        <w:t>ofiar przemocy</w:t>
      </w:r>
      <w:r w:rsidR="007151A2" w:rsidRPr="00E56927">
        <w:t xml:space="preserve">. Liczną grupę potencjalnych </w:t>
      </w:r>
      <w:r w:rsidR="00310774" w:rsidRPr="00E56927">
        <w:t>pokrzywdzonych</w:t>
      </w:r>
      <w:r w:rsidR="008D709B">
        <w:t xml:space="preserve"> stanowią dzieci – 83</w:t>
      </w:r>
      <w:r w:rsidR="008C7DB9">
        <w:t xml:space="preserve"> przypadki</w:t>
      </w:r>
      <w:r w:rsidR="00310774" w:rsidRPr="00E56927">
        <w:t>,</w:t>
      </w:r>
      <w:r w:rsidR="007151A2" w:rsidRPr="00E56927">
        <w:t xml:space="preserve"> tj. </w:t>
      </w:r>
      <w:r w:rsidR="008D709B">
        <w:t>2</w:t>
      </w:r>
      <w:r w:rsidR="00D17224" w:rsidRPr="00E56927">
        <w:t>0</w:t>
      </w:r>
      <w:r w:rsidR="007151A2" w:rsidRPr="00E56927">
        <w:t xml:space="preserve">% </w:t>
      </w:r>
      <w:r w:rsidR="00121121" w:rsidRPr="00E56927">
        <w:t>spośród wszystkich ofiar</w:t>
      </w:r>
      <w:r w:rsidR="007151A2" w:rsidRPr="00E56927">
        <w:t>.</w:t>
      </w:r>
      <w:r w:rsidR="00310774" w:rsidRPr="00E56927">
        <w:t xml:space="preserve"> Należy zwrócić uwagę na fakt, iż jest ich</w:t>
      </w:r>
      <w:r w:rsidR="00D17224" w:rsidRPr="00E56927">
        <w:t xml:space="preserve"> dwukrotnie więcej niż w roku</w:t>
      </w:r>
      <w:r w:rsidR="00310774" w:rsidRPr="00E56927">
        <w:t xml:space="preserve"> wcześniejszym</w:t>
      </w:r>
      <w:r w:rsidR="00D17224" w:rsidRPr="00E56927">
        <w:t>.</w:t>
      </w:r>
      <w:r w:rsidR="007151A2" w:rsidRPr="00E56927">
        <w:t xml:space="preserve"> Do osób, wśród których istnieje podejrzenie o doświadczanie przemocy</w:t>
      </w:r>
      <w:r w:rsidR="00310774" w:rsidRPr="00E56927">
        <w:t>,</w:t>
      </w:r>
      <w:r w:rsidR="007151A2" w:rsidRPr="00E56927">
        <w:t xml:space="preserve"> zaliczyć należy również mężczyzn </w:t>
      </w:r>
      <w:r w:rsidR="008D709B">
        <w:t>– 33</w:t>
      </w:r>
      <w:r w:rsidR="0078663F">
        <w:t xml:space="preserve"> </w:t>
      </w:r>
      <w:r w:rsidR="005464C5">
        <w:t>zarejestrowane</w:t>
      </w:r>
      <w:bookmarkStart w:id="0" w:name="_GoBack"/>
      <w:bookmarkEnd w:id="0"/>
      <w:r w:rsidR="00112F79" w:rsidRPr="00E56927">
        <w:t xml:space="preserve"> przypadk</w:t>
      </w:r>
      <w:r w:rsidR="0078663F">
        <w:t>i</w:t>
      </w:r>
      <w:r w:rsidR="00310774" w:rsidRPr="00E56927">
        <w:t>,</w:t>
      </w:r>
      <w:r w:rsidR="00112F79" w:rsidRPr="00E56927">
        <w:t xml:space="preserve"> tj.</w:t>
      </w:r>
      <w:r w:rsidR="002A7B86">
        <w:t xml:space="preserve"> około 8</w:t>
      </w:r>
      <w:r w:rsidR="00D17224" w:rsidRPr="00E56927">
        <w:t>%</w:t>
      </w:r>
      <w:r w:rsidR="007151A2" w:rsidRPr="00E56927">
        <w:t xml:space="preserve">. </w:t>
      </w:r>
      <w:r w:rsidR="000738FC" w:rsidRPr="00E56927">
        <w:t xml:space="preserve"> </w:t>
      </w:r>
    </w:p>
    <w:p w:rsidR="00B4736B" w:rsidRDefault="00B4736B">
      <w:pPr>
        <w:rPr>
          <w:b/>
        </w:rPr>
      </w:pPr>
    </w:p>
    <w:p w:rsidR="00094C24" w:rsidRPr="00094C24" w:rsidRDefault="004A730B">
      <w:pPr>
        <w:rPr>
          <w:b/>
        </w:rPr>
      </w:pPr>
      <w:r>
        <w:rPr>
          <w:b/>
        </w:rPr>
        <w:lastRenderedPageBreak/>
        <w:t>Wykres Nr 4</w:t>
      </w:r>
      <w:r w:rsidR="00094C24" w:rsidRPr="00094C24">
        <w:rPr>
          <w:b/>
        </w:rPr>
        <w:t>. Osoby podejrzewane o doświadczanie przemocy</w:t>
      </w:r>
    </w:p>
    <w:p w:rsidR="009D432C" w:rsidRDefault="00647F6E">
      <w:r>
        <w:rPr>
          <w:noProof/>
        </w:rPr>
        <w:drawing>
          <wp:inline distT="0" distB="0" distL="0" distR="0" wp14:anchorId="529150FD" wp14:editId="2BDCE7D5">
            <wp:extent cx="5597719" cy="3005593"/>
            <wp:effectExtent l="0" t="0" r="3175" b="444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C127A" w:rsidRDefault="00DC127A" w:rsidP="00A626D4">
      <w:pPr>
        <w:spacing w:line="360" w:lineRule="auto"/>
        <w:ind w:firstLine="708"/>
        <w:jc w:val="both"/>
      </w:pPr>
    </w:p>
    <w:p w:rsidR="000738FC" w:rsidRPr="0010379E" w:rsidRDefault="000738FC" w:rsidP="00A626D4">
      <w:pPr>
        <w:spacing w:line="360" w:lineRule="auto"/>
        <w:ind w:firstLine="708"/>
        <w:jc w:val="both"/>
      </w:pPr>
      <w:r w:rsidRPr="0010379E">
        <w:t>Wszystkie zespoły wykazały,</w:t>
      </w:r>
      <w:r w:rsidR="00E56927" w:rsidRPr="0010379E">
        <w:t xml:space="preserve"> że to mężczyźni najczęściej dopuszczają się stosowania przemocy w rodzinie. </w:t>
      </w:r>
      <w:r w:rsidRPr="0010379E">
        <w:t xml:space="preserve">Spośród rodzin objętych </w:t>
      </w:r>
      <w:r w:rsidR="00E56927" w:rsidRPr="0010379E">
        <w:t>wsparciem</w:t>
      </w:r>
      <w:r w:rsidRPr="0010379E">
        <w:t xml:space="preserve"> p</w:t>
      </w:r>
      <w:r w:rsidR="004B6F1F" w:rsidRPr="0010379E">
        <w:t>rzez zespoły interdyscyplinarne</w:t>
      </w:r>
      <w:r w:rsidRPr="0010379E">
        <w:t xml:space="preserve"> aż </w:t>
      </w:r>
      <w:r w:rsidR="008D709B">
        <w:t>93</w:t>
      </w:r>
      <w:r w:rsidR="00205620" w:rsidRPr="0010379E">
        <w:t>%</w:t>
      </w:r>
      <w:r w:rsidR="00EE45F7" w:rsidRPr="0010379E">
        <w:t xml:space="preserve"> to przypadki</w:t>
      </w:r>
      <w:r w:rsidR="004B6F1F" w:rsidRPr="0010379E">
        <w:t>,</w:t>
      </w:r>
      <w:r w:rsidR="00EE45F7" w:rsidRPr="0010379E">
        <w:t xml:space="preserve"> gdzie osoby płci męskiej są podejrzane o stosowanie przemocy. Udział kobiet w statystyce o</w:t>
      </w:r>
      <w:r w:rsidR="004B6F1F" w:rsidRPr="0010379E">
        <w:t>sób stosujących przemoc domową</w:t>
      </w:r>
      <w:r w:rsidR="00EE45F7" w:rsidRPr="0010379E">
        <w:t xml:space="preserve"> utrzymuje się na </w:t>
      </w:r>
      <w:r w:rsidR="004B6F1F" w:rsidRPr="0010379E">
        <w:t xml:space="preserve">podobnym poziomie wobec zeszłorocznego badania </w:t>
      </w:r>
      <w:r w:rsidR="00EE45F7" w:rsidRPr="0010379E">
        <w:t xml:space="preserve">tj. ok </w:t>
      </w:r>
      <w:r w:rsidR="002A7B86">
        <w:t>6</w:t>
      </w:r>
      <w:r w:rsidR="00EE45F7" w:rsidRPr="0010379E">
        <w:t xml:space="preserve">%. </w:t>
      </w:r>
      <w:r w:rsidR="0078663F">
        <w:t>W</w:t>
      </w:r>
      <w:r w:rsidR="00157AF8" w:rsidRPr="0010379E">
        <w:t xml:space="preserve"> zestawieniu jako podejrzane</w:t>
      </w:r>
      <w:r w:rsidR="00EE45F7" w:rsidRPr="0010379E">
        <w:t xml:space="preserve"> o stosowanie przemocy pojawiły się </w:t>
      </w:r>
      <w:r w:rsidR="00157AF8" w:rsidRPr="0010379E">
        <w:t>dzieci</w:t>
      </w:r>
      <w:r w:rsidR="00A626D4" w:rsidRPr="0010379E">
        <w:t xml:space="preserve">, tj. osoby do 18 roku życia, które </w:t>
      </w:r>
      <w:r w:rsidR="00A760D4">
        <w:t xml:space="preserve">– podobnie, jak w roku ubiegłym – </w:t>
      </w:r>
      <w:r w:rsidR="00A626D4" w:rsidRPr="0010379E">
        <w:t>stanowiły</w:t>
      </w:r>
      <w:r w:rsidR="00157AF8" w:rsidRPr="0010379E">
        <w:t xml:space="preserve"> ok. </w:t>
      </w:r>
      <w:r w:rsidR="0078663F">
        <w:t>1</w:t>
      </w:r>
      <w:r w:rsidR="00EE45F7" w:rsidRPr="0010379E">
        <w:t>%</w:t>
      </w:r>
      <w:r w:rsidR="00A626D4" w:rsidRPr="0010379E">
        <w:t xml:space="preserve"> tej grupy. P</w:t>
      </w:r>
      <w:r w:rsidR="004B6F1F" w:rsidRPr="0010379E">
        <w:t>odejrzenie</w:t>
      </w:r>
      <w:r w:rsidR="00157AF8" w:rsidRPr="0010379E">
        <w:t xml:space="preserve"> </w:t>
      </w:r>
      <w:r w:rsidR="00A626D4" w:rsidRPr="0010379E">
        <w:t xml:space="preserve">takie </w:t>
      </w:r>
      <w:r w:rsidR="004B6F1F" w:rsidRPr="0010379E">
        <w:t>zaistniało</w:t>
      </w:r>
      <w:r w:rsidR="00157AF8" w:rsidRPr="0010379E">
        <w:t xml:space="preserve"> </w:t>
      </w:r>
      <w:r w:rsidR="00EE45F7" w:rsidRPr="0010379E">
        <w:t>w</w:t>
      </w:r>
      <w:r w:rsidR="00E82933">
        <w:t xml:space="preserve"> ZI ds. przeciwdziałania</w:t>
      </w:r>
      <w:r w:rsidR="0078663F">
        <w:t xml:space="preserve"> w rodzinie w mieście Tomaszów L</w:t>
      </w:r>
      <w:r w:rsidR="00E82933">
        <w:t>ubelski</w:t>
      </w:r>
      <w:r w:rsidR="008D709B">
        <w:t>.</w:t>
      </w:r>
    </w:p>
    <w:p w:rsidR="00E628F0" w:rsidRDefault="00E628F0">
      <w:pPr>
        <w:rPr>
          <w:b/>
        </w:rPr>
      </w:pPr>
    </w:p>
    <w:p w:rsidR="00094C24" w:rsidRPr="000738FC" w:rsidRDefault="004A730B">
      <w:pPr>
        <w:rPr>
          <w:b/>
        </w:rPr>
      </w:pPr>
      <w:r>
        <w:rPr>
          <w:b/>
        </w:rPr>
        <w:t>Wykres Nr 5</w:t>
      </w:r>
      <w:r w:rsidR="000738FC" w:rsidRPr="000738FC">
        <w:rPr>
          <w:b/>
        </w:rPr>
        <w:t>. Osoby podejrzewane o stosowanie przemocy domowej</w:t>
      </w:r>
    </w:p>
    <w:p w:rsidR="00EE45F7" w:rsidRDefault="00647F6E">
      <w:r>
        <w:rPr>
          <w:noProof/>
        </w:rPr>
        <w:drawing>
          <wp:inline distT="0" distB="0" distL="0" distR="0">
            <wp:extent cx="5096786" cy="2496710"/>
            <wp:effectExtent l="0" t="0" r="889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626D4" w:rsidRDefault="00A626D4" w:rsidP="00DF7118">
      <w:pPr>
        <w:spacing w:line="360" w:lineRule="auto"/>
        <w:ind w:firstLine="708"/>
        <w:jc w:val="both"/>
      </w:pPr>
    </w:p>
    <w:p w:rsidR="00D15E1F" w:rsidRPr="00916AB8" w:rsidRDefault="00D15E1F" w:rsidP="00DF7118">
      <w:pPr>
        <w:spacing w:line="360" w:lineRule="auto"/>
        <w:ind w:firstLine="708"/>
        <w:jc w:val="both"/>
      </w:pPr>
      <w:r w:rsidRPr="00DB7816">
        <w:lastRenderedPageBreak/>
        <w:t xml:space="preserve">Zespoły Interdyscyplinarne podejmowały liczne działania mające na celu udzielenie pomocy </w:t>
      </w:r>
      <w:r w:rsidR="0010379E" w:rsidRPr="00DB7816">
        <w:t>osobom doznającym</w:t>
      </w:r>
      <w:r w:rsidRPr="00DB7816">
        <w:t xml:space="preserve"> przemocy domowej oraz powstrzymanie sprawców przed jej dalszym stosowaniem. Wśród tych działań najczęstsz</w:t>
      </w:r>
      <w:r w:rsidR="00112F79" w:rsidRPr="00DB7816">
        <w:t>e</w:t>
      </w:r>
      <w:r w:rsidRPr="00DB7816">
        <w:t xml:space="preserve"> </w:t>
      </w:r>
      <w:r w:rsidR="0096251B" w:rsidRPr="00DB7816">
        <w:t xml:space="preserve">– podobnie, jak w latach ubiegłych – </w:t>
      </w:r>
      <w:r w:rsidRPr="00DB7816">
        <w:t>było przedstawienie oferty Ośrodka Interwencji Kry</w:t>
      </w:r>
      <w:r w:rsidR="00112F79" w:rsidRPr="00DB7816">
        <w:t>zysowej w Tomaszowie Lubelskim</w:t>
      </w:r>
      <w:r w:rsidR="0010379E" w:rsidRPr="00DB7816">
        <w:t>.</w:t>
      </w:r>
      <w:r w:rsidR="0021213A">
        <w:br/>
      </w:r>
      <w:r w:rsidR="002D0074">
        <w:t>220</w:t>
      </w:r>
      <w:r w:rsidR="0096251B" w:rsidRPr="00DB7816">
        <w:t xml:space="preserve"> rodzin</w:t>
      </w:r>
      <w:r w:rsidR="00937C66">
        <w:t xml:space="preserve"> (czyli 67</w:t>
      </w:r>
      <w:r w:rsidR="0010379E" w:rsidRPr="00DB7816">
        <w:t>% wszyst</w:t>
      </w:r>
      <w:r w:rsidR="002D0074">
        <w:t>kich rodzin pozostających w 2018</w:t>
      </w:r>
      <w:r w:rsidR="0010379E" w:rsidRPr="00DB7816">
        <w:t xml:space="preserve"> r. w zainteresowaniu ZI)</w:t>
      </w:r>
      <w:r w:rsidR="0096251B" w:rsidRPr="00DB7816">
        <w:t xml:space="preserve"> </w:t>
      </w:r>
      <w:r w:rsidR="00112F79" w:rsidRPr="00DB7816">
        <w:t xml:space="preserve">zostało zapoznanych z pomocą, jaką mogą uzyskać w OIK w Tomaszowie </w:t>
      </w:r>
      <w:r w:rsidR="00112F79" w:rsidRPr="00916AB8">
        <w:t>Lubelskim.</w:t>
      </w:r>
      <w:r w:rsidR="0010379E" w:rsidRPr="00916AB8">
        <w:t xml:space="preserve"> </w:t>
      </w:r>
      <w:r w:rsidR="00DB7816" w:rsidRPr="00916AB8">
        <w:t xml:space="preserve">Trudno ocenić, ile z tych osób faktycznie skorzystało z pomocy OIK w wyniku przedstawionej informacji (nie wszystkie informują o okolicznościach zgłoszenia się do OIK), jednak wiadomo, iż </w:t>
      </w:r>
      <w:r w:rsidR="001C6CA6">
        <w:t>92</w:t>
      </w:r>
      <w:r w:rsidR="00916AB8" w:rsidRPr="00916AB8">
        <w:t xml:space="preserve"> osoby</w:t>
      </w:r>
      <w:r w:rsidR="00DB7816" w:rsidRPr="00916AB8">
        <w:t xml:space="preserve"> </w:t>
      </w:r>
      <w:r w:rsidR="002D0074">
        <w:t>w 2018</w:t>
      </w:r>
      <w:r w:rsidR="00451222" w:rsidRPr="00916AB8">
        <w:t xml:space="preserve"> r</w:t>
      </w:r>
      <w:r w:rsidR="00DB7816" w:rsidRPr="00916AB8">
        <w:t xml:space="preserve">. </w:t>
      </w:r>
      <w:r w:rsidR="00916AB8" w:rsidRPr="00916AB8">
        <w:t>objęte zostały</w:t>
      </w:r>
      <w:r w:rsidR="00451222" w:rsidRPr="00916AB8">
        <w:t xml:space="preserve"> interwencją</w:t>
      </w:r>
      <w:r w:rsidR="00DB7816" w:rsidRPr="00916AB8">
        <w:t xml:space="preserve"> kryzysow</w:t>
      </w:r>
      <w:r w:rsidR="00A37E24">
        <w:t>ą z powodu przemocy w rodzinie.</w:t>
      </w:r>
    </w:p>
    <w:p w:rsidR="00916AB8" w:rsidRPr="00916AB8" w:rsidRDefault="00D15E1F" w:rsidP="0000223E">
      <w:pPr>
        <w:spacing w:line="360" w:lineRule="auto"/>
        <w:jc w:val="both"/>
      </w:pPr>
      <w:r w:rsidRPr="00C2472D">
        <w:rPr>
          <w:color w:val="76923C" w:themeColor="accent3" w:themeShade="BF"/>
        </w:rPr>
        <w:tab/>
      </w:r>
      <w:r w:rsidR="001C6CA6">
        <w:t>106</w:t>
      </w:r>
      <w:r w:rsidR="00C2472D" w:rsidRPr="00916AB8">
        <w:t xml:space="preserve"> </w:t>
      </w:r>
      <w:r w:rsidRPr="00916AB8">
        <w:t>rodzin</w:t>
      </w:r>
      <w:r w:rsidR="00A760D4">
        <w:t xml:space="preserve"> zostało zapoznanych</w:t>
      </w:r>
      <w:r w:rsidRPr="00916AB8">
        <w:t xml:space="preserve"> z ofertą Specjalistyczneg</w:t>
      </w:r>
      <w:r w:rsidR="00DB7816" w:rsidRPr="00916AB8">
        <w:t xml:space="preserve">o Ośrodka Wsparcia </w:t>
      </w:r>
      <w:r w:rsidR="00916AB8" w:rsidRPr="00916AB8">
        <w:br/>
      </w:r>
      <w:r w:rsidR="00DB7816" w:rsidRPr="00916AB8">
        <w:t>w Tyszowcach</w:t>
      </w:r>
      <w:r w:rsidR="001C6CA6">
        <w:t>.</w:t>
      </w:r>
      <w:r w:rsidR="00DB7816" w:rsidRPr="00916AB8">
        <w:t xml:space="preserve"> </w:t>
      </w:r>
    </w:p>
    <w:p w:rsidR="00C2472D" w:rsidRPr="001653B4" w:rsidRDefault="001C6CA6" w:rsidP="00916AB8">
      <w:pPr>
        <w:spacing w:line="360" w:lineRule="auto"/>
        <w:ind w:firstLine="708"/>
        <w:jc w:val="both"/>
      </w:pPr>
      <w:r>
        <w:t>W 84</w:t>
      </w:r>
      <w:r w:rsidR="00C2472D" w:rsidRPr="001653B4">
        <w:t xml:space="preserve"> </w:t>
      </w:r>
      <w:r w:rsidR="00D15E1F" w:rsidRPr="001653B4">
        <w:t>p</w:t>
      </w:r>
      <w:r w:rsidR="00C2472D" w:rsidRPr="001653B4">
        <w:t>rzypadkach</w:t>
      </w:r>
      <w:r w:rsidR="00D15E1F" w:rsidRPr="001653B4">
        <w:t xml:space="preserve"> stosowania przemocy domowej</w:t>
      </w:r>
      <w:r w:rsidR="00916AB8" w:rsidRPr="001653B4">
        <w:t xml:space="preserve"> został zdiagnozowany problem</w:t>
      </w:r>
      <w:r w:rsidR="00C2472D" w:rsidRPr="001653B4">
        <w:t xml:space="preserve"> alkoholowy</w:t>
      </w:r>
      <w:r w:rsidR="00916AB8" w:rsidRPr="001653B4">
        <w:t>,</w:t>
      </w:r>
      <w:r w:rsidR="0000223E" w:rsidRPr="001653B4">
        <w:t xml:space="preserve"> </w:t>
      </w:r>
      <w:r w:rsidR="00916AB8" w:rsidRPr="001653B4">
        <w:t>c</w:t>
      </w:r>
      <w:r>
        <w:t>o stanowi 25</w:t>
      </w:r>
      <w:r w:rsidR="001653B4" w:rsidRPr="001653B4">
        <w:t>% rodzin objętych</w:t>
      </w:r>
      <w:r w:rsidR="00A760D4">
        <w:t xml:space="preserve"> procedurą Niebieskie</w:t>
      </w:r>
      <w:r w:rsidR="00C2472D" w:rsidRPr="001653B4">
        <w:t xml:space="preserve"> Karty. </w:t>
      </w:r>
      <w:r w:rsidR="001653B4" w:rsidRPr="001653B4">
        <w:t xml:space="preserve">Osoby </w:t>
      </w:r>
      <w:r w:rsidR="00DF7118" w:rsidRPr="001653B4">
        <w:t>stosując</w:t>
      </w:r>
      <w:r w:rsidR="001653B4" w:rsidRPr="001653B4">
        <w:t>e przemoc, u których podejrzewano problem ryzykownego picia, były kierowane</w:t>
      </w:r>
      <w:r w:rsidR="0000223E" w:rsidRPr="001653B4">
        <w:t xml:space="preserve"> do gminnych komisji rozwią</w:t>
      </w:r>
      <w:r w:rsidR="00DF7118" w:rsidRPr="001653B4">
        <w:t>zywania problemów alkoholowych</w:t>
      </w:r>
      <w:r w:rsidR="00C2472D" w:rsidRPr="001653B4">
        <w:t>.</w:t>
      </w:r>
    </w:p>
    <w:p w:rsidR="00B93A3A" w:rsidRPr="001653B4" w:rsidRDefault="00B93A3A" w:rsidP="0000223E">
      <w:pPr>
        <w:spacing w:line="360" w:lineRule="auto"/>
        <w:jc w:val="both"/>
      </w:pPr>
      <w:r>
        <w:tab/>
      </w:r>
      <w:r w:rsidRPr="001653B4">
        <w:t xml:space="preserve">Kierowanie do udziału w programach korekcyjno – edukacyjnych dla </w:t>
      </w:r>
      <w:r w:rsidR="001653B4" w:rsidRPr="001653B4">
        <w:t>osób stosujących przemoc w rodzinie</w:t>
      </w:r>
      <w:r w:rsidRPr="001653B4">
        <w:t xml:space="preserve"> dotyczyło </w:t>
      </w:r>
      <w:r w:rsidR="001C6CA6">
        <w:t>24</w:t>
      </w:r>
      <w:r w:rsidRPr="001653B4">
        <w:t xml:space="preserve"> zarejestrowanych przypadków. Rzadziej podejmowane działania to</w:t>
      </w:r>
      <w:r w:rsidR="00A760D4">
        <w:t>:</w:t>
      </w:r>
      <w:r w:rsidRPr="001653B4">
        <w:t xml:space="preserve"> zawiadomienie o podejrzeniu popełnienia przestępstwa -</w:t>
      </w:r>
      <w:r w:rsidR="001C6CA6">
        <w:t xml:space="preserve"> 7 przypadków</w:t>
      </w:r>
      <w:r w:rsidRPr="001653B4">
        <w:t>,</w:t>
      </w:r>
      <w:r w:rsidR="006A73C5" w:rsidRPr="001653B4">
        <w:t xml:space="preserve"> </w:t>
      </w:r>
      <w:r w:rsidR="001C6CA6">
        <w:t>złożenie wniosku</w:t>
      </w:r>
      <w:r w:rsidR="001C6CA6" w:rsidRPr="001653B4">
        <w:t xml:space="preserve"> o ograniczenie, zawieszenie bądź pozbawienie władzy rodzicielskiej</w:t>
      </w:r>
      <w:r w:rsidR="001C6CA6">
        <w:t xml:space="preserve"> – 1 przypadek,</w:t>
      </w:r>
      <w:r w:rsidRPr="001653B4">
        <w:t xml:space="preserve"> złożenie wniosku o wgląd w sytuację rodziny -</w:t>
      </w:r>
      <w:r w:rsidR="001C6CA6">
        <w:t xml:space="preserve"> 4 przypadki</w:t>
      </w:r>
      <w:r w:rsidRPr="001653B4">
        <w:t xml:space="preserve">, </w:t>
      </w:r>
      <w:r w:rsidR="004644A2" w:rsidRPr="001653B4">
        <w:t>przyd</w:t>
      </w:r>
      <w:r w:rsidR="001C6CA6">
        <w:t>zielanie asystenta rodziny – 5 przypadków</w:t>
      </w:r>
      <w:r w:rsidR="006A73C5" w:rsidRPr="001653B4">
        <w:t>.</w:t>
      </w:r>
    </w:p>
    <w:p w:rsidR="0000223E" w:rsidRPr="001653B4" w:rsidRDefault="0000223E" w:rsidP="0000223E">
      <w:pPr>
        <w:spacing w:line="360" w:lineRule="auto"/>
        <w:jc w:val="both"/>
      </w:pPr>
      <w:r w:rsidRPr="001653B4">
        <w:tab/>
      </w:r>
      <w:r w:rsidR="007910D2" w:rsidRPr="001653B4">
        <w:t xml:space="preserve">Proponowano bądź stosowano także formy pomocy </w:t>
      </w:r>
      <w:r w:rsidR="001653B4" w:rsidRPr="001653B4">
        <w:t>oznaczone, jako „inne”</w:t>
      </w:r>
      <w:r w:rsidR="005E759F">
        <w:t>.</w:t>
      </w:r>
      <w:r w:rsidR="001653B4" w:rsidRPr="001653B4">
        <w:t xml:space="preserve"> </w:t>
      </w:r>
      <w:r w:rsidR="005E759F">
        <w:t>W</w:t>
      </w:r>
      <w:r w:rsidR="001653B4" w:rsidRPr="001653B4">
        <w:t xml:space="preserve">ymieniano tu </w:t>
      </w:r>
      <w:r w:rsidR="00B93A3A" w:rsidRPr="001653B4">
        <w:t>m.in.</w:t>
      </w:r>
      <w:r w:rsidRPr="001653B4">
        <w:t>:</w:t>
      </w:r>
    </w:p>
    <w:p w:rsidR="00B93A3A" w:rsidRPr="00E628F0" w:rsidRDefault="00581920" w:rsidP="00B93A3A">
      <w:pPr>
        <w:pStyle w:val="Akapitzlist"/>
        <w:numPr>
          <w:ilvl w:val="0"/>
          <w:numId w:val="1"/>
        </w:numPr>
        <w:spacing w:line="360" w:lineRule="auto"/>
        <w:jc w:val="both"/>
      </w:pPr>
      <w:r w:rsidRPr="00E628F0">
        <w:t>poradnictwo psychologiczne</w:t>
      </w:r>
      <w:r w:rsidR="00B93A3A" w:rsidRPr="00E628F0">
        <w:t>,</w:t>
      </w:r>
      <w:r w:rsidRPr="00E628F0">
        <w:t xml:space="preserve"> socjalne, prawne</w:t>
      </w:r>
    </w:p>
    <w:p w:rsidR="00581920" w:rsidRPr="00E628F0" w:rsidRDefault="00C858AF" w:rsidP="00581920">
      <w:pPr>
        <w:pStyle w:val="Akapitzlist"/>
        <w:numPr>
          <w:ilvl w:val="0"/>
          <w:numId w:val="1"/>
        </w:numPr>
        <w:spacing w:line="360" w:lineRule="auto"/>
        <w:jc w:val="both"/>
      </w:pPr>
      <w:r w:rsidRPr="00E628F0">
        <w:t xml:space="preserve">udostępnianie numeru telefonu NIEBIESKA LINIA, broszurek informacyjnych, ulotek, prowadzenie stron internetowych, rozwieszanie plakatów informacyjnych </w:t>
      </w:r>
      <w:r w:rsidR="005E759F" w:rsidRPr="00E628F0">
        <w:t xml:space="preserve">dotyczących przemocy </w:t>
      </w:r>
      <w:r w:rsidRPr="00E628F0">
        <w:t>w m</w:t>
      </w:r>
      <w:r w:rsidR="005E759F">
        <w:t>iejscach dostępności publicznej.</w:t>
      </w:r>
    </w:p>
    <w:p w:rsidR="004644A2" w:rsidRDefault="004644A2" w:rsidP="004644A2">
      <w:pPr>
        <w:spacing w:line="360" w:lineRule="auto"/>
        <w:jc w:val="both"/>
      </w:pPr>
      <w:r w:rsidRPr="001653B4">
        <w:t xml:space="preserve">W analizowanym okresie nie składano </w:t>
      </w:r>
      <w:r w:rsidR="005E759F">
        <w:t>wniosków</w:t>
      </w:r>
      <w:r w:rsidR="001C6CA6">
        <w:t xml:space="preserve"> do prokuratury o </w:t>
      </w:r>
      <w:r w:rsidR="004231CF">
        <w:t>skierowanie na przymusowe leczenie odwykowe.</w:t>
      </w:r>
    </w:p>
    <w:p w:rsidR="00251981" w:rsidRPr="001653B4" w:rsidRDefault="00251981" w:rsidP="004644A2">
      <w:pPr>
        <w:spacing w:line="360" w:lineRule="auto"/>
        <w:jc w:val="both"/>
      </w:pPr>
    </w:p>
    <w:p w:rsidR="006B0031" w:rsidRDefault="006B0031" w:rsidP="004644A2">
      <w:pPr>
        <w:spacing w:line="360" w:lineRule="auto"/>
        <w:jc w:val="both"/>
      </w:pPr>
    </w:p>
    <w:p w:rsidR="00E628F0" w:rsidRDefault="00E628F0" w:rsidP="002B428D">
      <w:pPr>
        <w:rPr>
          <w:b/>
        </w:rPr>
      </w:pPr>
    </w:p>
    <w:p w:rsidR="002B428D" w:rsidRPr="00260C17" w:rsidRDefault="004A730B" w:rsidP="002B428D">
      <w:r w:rsidRPr="00260C17">
        <w:rPr>
          <w:b/>
        </w:rPr>
        <w:lastRenderedPageBreak/>
        <w:t>Wykres Nr 6</w:t>
      </w:r>
      <w:r w:rsidR="002B428D" w:rsidRPr="00260C17">
        <w:rPr>
          <w:b/>
        </w:rPr>
        <w:t xml:space="preserve">. Działania podejmowane przez Zespoły Interdyscyplinarne wobec </w:t>
      </w:r>
      <w:r w:rsidR="005300A3" w:rsidRPr="00260C17">
        <w:rPr>
          <w:b/>
        </w:rPr>
        <w:t>rodzin, w których zaistniało podejrzenie występowania przemocy</w:t>
      </w:r>
      <w:r w:rsidR="00F732B6" w:rsidRPr="00260C17">
        <w:rPr>
          <w:b/>
        </w:rPr>
        <w:t xml:space="preserve"> domowej</w:t>
      </w:r>
      <w:r w:rsidR="002B428D" w:rsidRPr="00260C17">
        <w:rPr>
          <w:b/>
        </w:rPr>
        <w:t xml:space="preserve"> </w:t>
      </w:r>
    </w:p>
    <w:p w:rsidR="002B428D" w:rsidRPr="002405EC" w:rsidRDefault="002B428D" w:rsidP="004644A2">
      <w:pPr>
        <w:spacing w:line="360" w:lineRule="auto"/>
        <w:jc w:val="both"/>
        <w:rPr>
          <w:color w:val="FF0000"/>
        </w:rPr>
      </w:pPr>
    </w:p>
    <w:p w:rsidR="00717E0E" w:rsidRDefault="008B0C45" w:rsidP="0000223E">
      <w:pPr>
        <w:jc w:val="center"/>
      </w:pPr>
      <w:r>
        <w:rPr>
          <w:noProof/>
        </w:rPr>
        <w:drawing>
          <wp:inline distT="0" distB="0" distL="0" distR="0">
            <wp:extent cx="5772150" cy="504825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300A3" w:rsidRDefault="005300A3" w:rsidP="005300A3">
      <w:pPr>
        <w:rPr>
          <w:b/>
        </w:rPr>
      </w:pPr>
    </w:p>
    <w:p w:rsidR="0036763B" w:rsidRDefault="0036763B" w:rsidP="00387F23">
      <w:pPr>
        <w:spacing w:line="360" w:lineRule="auto"/>
        <w:ind w:firstLine="708"/>
        <w:jc w:val="both"/>
      </w:pPr>
    </w:p>
    <w:p w:rsidR="00DC127A" w:rsidRDefault="00DC127A" w:rsidP="00387F23">
      <w:pPr>
        <w:spacing w:line="360" w:lineRule="auto"/>
        <w:ind w:firstLine="708"/>
        <w:jc w:val="both"/>
      </w:pPr>
    </w:p>
    <w:p w:rsidR="00387F23" w:rsidRDefault="00387F23" w:rsidP="00387F23">
      <w:pPr>
        <w:spacing w:line="360" w:lineRule="auto"/>
        <w:ind w:firstLine="708"/>
        <w:jc w:val="both"/>
      </w:pPr>
      <w:r>
        <w:t xml:space="preserve">Analiza aktualnych wyników badań oraz porównanie ich do informacji uzyskanych na przestrzeni </w:t>
      </w:r>
      <w:r w:rsidR="005E759F">
        <w:t>pięciu</w:t>
      </w:r>
      <w:r>
        <w:t xml:space="preserve"> lat pozwala </w:t>
      </w:r>
      <w:r w:rsidR="00AB26A2">
        <w:t>na wysunięcie pewnych wniosków:</w:t>
      </w:r>
    </w:p>
    <w:p w:rsidR="00387F23" w:rsidRPr="00E9391A" w:rsidRDefault="00387F23" w:rsidP="00387F23">
      <w:pPr>
        <w:pStyle w:val="Akapitzlist"/>
        <w:numPr>
          <w:ilvl w:val="0"/>
          <w:numId w:val="3"/>
        </w:numPr>
        <w:spacing w:line="360" w:lineRule="auto"/>
        <w:jc w:val="both"/>
      </w:pPr>
      <w:r>
        <w:t>Wśród osób zgłaszanyc</w:t>
      </w:r>
      <w:r w:rsidR="00F732B6">
        <w:t>h jako sprawcy przemocy domowej</w:t>
      </w:r>
      <w:r>
        <w:t xml:space="preserve"> zdecydowanie dominują mężczyźni</w:t>
      </w:r>
      <w:r w:rsidR="00430AE6">
        <w:t xml:space="preserve">. Udział nieletnich w </w:t>
      </w:r>
      <w:r w:rsidR="00F732B6">
        <w:t>stosowaniu</w:t>
      </w:r>
      <w:r w:rsidR="00430AE6">
        <w:t xml:space="preserve"> </w:t>
      </w:r>
      <w:r w:rsidR="00F732B6">
        <w:t>przemocy można określić jako</w:t>
      </w:r>
      <w:r>
        <w:t xml:space="preserve"> niski, nieco większy jest udział kobiet, </w:t>
      </w:r>
      <w:r w:rsidR="005E759F">
        <w:t>zaś</w:t>
      </w:r>
      <w:r>
        <w:t xml:space="preserve"> ich liczba stopniowo zwiększa się</w:t>
      </w:r>
      <w:r w:rsidR="005C3C90">
        <w:t xml:space="preserve"> </w:t>
      </w:r>
      <w:r w:rsidR="005C3C90" w:rsidRPr="00E9391A">
        <w:t xml:space="preserve">(w 2014 r. - </w:t>
      </w:r>
      <w:r w:rsidR="008474BD" w:rsidRPr="00E9391A">
        <w:t>9</w:t>
      </w:r>
      <w:r w:rsidR="005C3C90" w:rsidRPr="00E9391A">
        <w:t xml:space="preserve"> os., w 2015 - </w:t>
      </w:r>
      <w:r w:rsidR="00FC4FC3" w:rsidRPr="00E9391A">
        <w:t>13</w:t>
      </w:r>
      <w:r w:rsidR="005C3C90" w:rsidRPr="00E9391A">
        <w:t xml:space="preserve"> os., </w:t>
      </w:r>
      <w:r w:rsidR="00680FFB" w:rsidRPr="00E9391A">
        <w:t xml:space="preserve">w 2016 r. </w:t>
      </w:r>
      <w:r w:rsidR="00C049AE">
        <w:t>–</w:t>
      </w:r>
      <w:r w:rsidR="00680FFB" w:rsidRPr="00E9391A">
        <w:t xml:space="preserve"> 16</w:t>
      </w:r>
      <w:r w:rsidR="00C049AE">
        <w:t xml:space="preserve"> </w:t>
      </w:r>
      <w:r w:rsidR="00680FFB" w:rsidRPr="00E9391A">
        <w:t>os., w 2017 r. -</w:t>
      </w:r>
      <w:r w:rsidR="00E9391A" w:rsidRPr="00E9391A">
        <w:t xml:space="preserve"> </w:t>
      </w:r>
      <w:r w:rsidR="00680FFB" w:rsidRPr="00E9391A">
        <w:t>22</w:t>
      </w:r>
      <w:r w:rsidR="005C3C90" w:rsidRPr="00E9391A">
        <w:t xml:space="preserve"> os.</w:t>
      </w:r>
      <w:r w:rsidR="004231CF">
        <w:t>, w 2018 r. – 18 os.</w:t>
      </w:r>
      <w:r w:rsidR="005C3C90" w:rsidRPr="00E9391A">
        <w:t>)</w:t>
      </w:r>
      <w:r w:rsidRPr="00E9391A">
        <w:t xml:space="preserve">. </w:t>
      </w:r>
    </w:p>
    <w:p w:rsidR="00387F23" w:rsidRDefault="00F732B6" w:rsidP="00387F23">
      <w:pPr>
        <w:pStyle w:val="Akapitzlist"/>
        <w:numPr>
          <w:ilvl w:val="0"/>
          <w:numId w:val="3"/>
        </w:numPr>
        <w:spacing w:line="360" w:lineRule="auto"/>
        <w:jc w:val="both"/>
      </w:pPr>
      <w:r>
        <w:t>Na przestrzeni lat</w:t>
      </w:r>
      <w:r w:rsidR="00387F23">
        <w:t xml:space="preserve"> wzrósł udział mężczyzn wśród ofiar przemocy, co być może ma związek ze wzrostem liczby kobiet wśród potencjalnych sprawców. </w:t>
      </w:r>
    </w:p>
    <w:p w:rsidR="00387F23" w:rsidRDefault="00387F23" w:rsidP="00387F23">
      <w:pPr>
        <w:pStyle w:val="Akapitzlist"/>
        <w:numPr>
          <w:ilvl w:val="0"/>
          <w:numId w:val="3"/>
        </w:numPr>
        <w:spacing w:line="360" w:lineRule="auto"/>
        <w:jc w:val="both"/>
      </w:pPr>
      <w:r>
        <w:lastRenderedPageBreak/>
        <w:t xml:space="preserve">Dominujący </w:t>
      </w:r>
      <w:r w:rsidR="00F732B6">
        <w:t>odsetek</w:t>
      </w:r>
      <w:r>
        <w:t xml:space="preserve"> wśród osób </w:t>
      </w:r>
      <w:r w:rsidR="00F732B6">
        <w:t>doświadczających</w:t>
      </w:r>
      <w:r>
        <w:t xml:space="preserve"> przemocy stanowią kobiety, przy czym</w:t>
      </w:r>
      <w:r w:rsidR="00430AE6">
        <w:t xml:space="preserve"> na przestrzeni lat </w:t>
      </w:r>
      <w:r w:rsidR="00F732B6">
        <w:t>grupa ta staje się coraz liczniejsza, co</w:t>
      </w:r>
      <w:r>
        <w:t xml:space="preserve"> dotyczy zarówno kobiet, mężczyzn</w:t>
      </w:r>
      <w:r w:rsidR="002405EC">
        <w:t>,</w:t>
      </w:r>
      <w:r>
        <w:t xml:space="preserve"> </w:t>
      </w:r>
      <w:r w:rsidR="00F732B6">
        <w:t xml:space="preserve">jak </w:t>
      </w:r>
      <w:r>
        <w:t>i dzieci.</w:t>
      </w:r>
    </w:p>
    <w:p w:rsidR="00AB26A2" w:rsidRDefault="00AB26A2" w:rsidP="00AB26A2">
      <w:pPr>
        <w:pStyle w:val="Akapitzlist"/>
        <w:numPr>
          <w:ilvl w:val="0"/>
          <w:numId w:val="3"/>
        </w:numPr>
        <w:spacing w:line="360" w:lineRule="auto"/>
        <w:jc w:val="both"/>
      </w:pPr>
      <w:r>
        <w:t>Największy niepokój budzi fakt, iż z</w:t>
      </w:r>
      <w:r w:rsidR="005C3C90">
        <w:t xml:space="preserve">nacząco wzrosła </w:t>
      </w:r>
      <w:r>
        <w:t>liczba dzieci doznających przemocy w rodzinie, a jednocześnie tak niewiele złożono do Sądu wniosków o wg</w:t>
      </w:r>
      <w:r w:rsidR="005E759F">
        <w:t>ląd w sytuację rodzinną dziecka - z</w:t>
      </w:r>
      <w:r w:rsidR="002E7A94">
        <w:t xml:space="preserve">łożono </w:t>
      </w:r>
      <w:r w:rsidR="005E759F">
        <w:t xml:space="preserve">bowiem </w:t>
      </w:r>
      <w:r w:rsidR="002E7A94">
        <w:t xml:space="preserve">zaledwie 4 wnioski </w:t>
      </w:r>
      <w:r w:rsidR="005E759F">
        <w:t>o wgląd w sytuację rodzinną dziecka.</w:t>
      </w:r>
    </w:p>
    <w:p w:rsidR="00387F23" w:rsidRDefault="00387F23" w:rsidP="00AB26A2">
      <w:pPr>
        <w:pStyle w:val="Akapitzlist"/>
        <w:numPr>
          <w:ilvl w:val="0"/>
          <w:numId w:val="3"/>
        </w:numPr>
        <w:spacing w:line="360" w:lineRule="auto"/>
        <w:jc w:val="both"/>
      </w:pPr>
      <w:r>
        <w:t>Od roku 2014 wzros</w:t>
      </w:r>
      <w:r w:rsidR="00F732B6">
        <w:t>ła liczba zarejestrowanych osób:</w:t>
      </w:r>
      <w:r>
        <w:t xml:space="preserve"> podejrzewanych o stosowanie przemocy domowej oraz </w:t>
      </w:r>
      <w:r w:rsidR="005E759F">
        <w:t xml:space="preserve">jej </w:t>
      </w:r>
      <w:r>
        <w:t>doświadczanie, co może świadczyć</w:t>
      </w:r>
      <w:r w:rsidR="005E759F">
        <w:t xml:space="preserve"> </w:t>
      </w:r>
      <w:r>
        <w:t xml:space="preserve">o coraz większej aktywności Zespołów </w:t>
      </w:r>
      <w:r w:rsidR="00F732B6">
        <w:t>Interdyscyplinarnych</w:t>
      </w:r>
      <w:r>
        <w:t>.</w:t>
      </w:r>
    </w:p>
    <w:p w:rsidR="00691B96" w:rsidRPr="00CD3BE6" w:rsidRDefault="00691B96" w:rsidP="00387F23">
      <w:pPr>
        <w:spacing w:line="360" w:lineRule="auto"/>
        <w:ind w:firstLine="708"/>
        <w:jc w:val="both"/>
      </w:pPr>
    </w:p>
    <w:p w:rsidR="00CD3BE6" w:rsidRDefault="00E44DC2" w:rsidP="00E44DC2">
      <w:pPr>
        <w:tabs>
          <w:tab w:val="left" w:pos="2385"/>
        </w:tabs>
        <w:rPr>
          <w:b/>
        </w:rPr>
      </w:pPr>
      <w:r>
        <w:rPr>
          <w:b/>
        </w:rPr>
        <w:tab/>
      </w:r>
    </w:p>
    <w:p w:rsidR="004644A2" w:rsidRDefault="005300A3" w:rsidP="00E318E5">
      <w:pPr>
        <w:rPr>
          <w:b/>
        </w:rPr>
      </w:pPr>
      <w:r w:rsidRPr="000738FC">
        <w:rPr>
          <w:b/>
        </w:rPr>
        <w:t xml:space="preserve">Wykres Nr </w:t>
      </w:r>
      <w:r w:rsidR="004A730B">
        <w:rPr>
          <w:b/>
        </w:rPr>
        <w:t>7</w:t>
      </w:r>
      <w:r w:rsidRPr="000738FC">
        <w:rPr>
          <w:b/>
        </w:rPr>
        <w:t xml:space="preserve">. </w:t>
      </w:r>
      <w:r>
        <w:rPr>
          <w:b/>
        </w:rPr>
        <w:t>Osoby podejrzewane o stosowanie przemocy domo</w:t>
      </w:r>
      <w:r w:rsidR="00937C66">
        <w:rPr>
          <w:b/>
        </w:rPr>
        <w:t>wej na przestrzeni lat 2014-2018</w:t>
      </w:r>
      <w:r>
        <w:rPr>
          <w:b/>
        </w:rPr>
        <w:t xml:space="preserve">. </w:t>
      </w:r>
    </w:p>
    <w:p w:rsidR="00FE30AC" w:rsidRPr="00E318E5" w:rsidRDefault="00FE30AC" w:rsidP="00E318E5">
      <w:pPr>
        <w:rPr>
          <w:b/>
        </w:rPr>
      </w:pPr>
    </w:p>
    <w:p w:rsidR="004644A2" w:rsidRDefault="002B428D" w:rsidP="004644A2">
      <w:pPr>
        <w:jc w:val="both"/>
      </w:pPr>
      <w:r>
        <w:rPr>
          <w:noProof/>
        </w:rPr>
        <w:drawing>
          <wp:inline distT="0" distB="0" distL="0" distR="0">
            <wp:extent cx="5637475" cy="3355451"/>
            <wp:effectExtent l="0" t="0" r="1905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318E5" w:rsidRDefault="00E318E5" w:rsidP="004644A2">
      <w:pPr>
        <w:jc w:val="both"/>
      </w:pPr>
    </w:p>
    <w:p w:rsidR="00F732B6" w:rsidRDefault="00F732B6" w:rsidP="00E318E5">
      <w:pPr>
        <w:rPr>
          <w:b/>
        </w:rPr>
      </w:pPr>
    </w:p>
    <w:p w:rsidR="00F732B6" w:rsidRDefault="00F732B6" w:rsidP="00E318E5">
      <w:pPr>
        <w:rPr>
          <w:b/>
        </w:rPr>
      </w:pPr>
    </w:p>
    <w:p w:rsidR="006B0031" w:rsidRDefault="006B0031" w:rsidP="00E318E5">
      <w:pPr>
        <w:rPr>
          <w:b/>
        </w:rPr>
      </w:pPr>
    </w:p>
    <w:p w:rsidR="006B0031" w:rsidRDefault="006B0031" w:rsidP="00E318E5">
      <w:pPr>
        <w:rPr>
          <w:b/>
        </w:rPr>
      </w:pPr>
    </w:p>
    <w:p w:rsidR="006B0031" w:rsidRDefault="006B0031" w:rsidP="00E318E5">
      <w:pPr>
        <w:rPr>
          <w:b/>
        </w:rPr>
      </w:pPr>
    </w:p>
    <w:p w:rsidR="006B0031" w:rsidRDefault="006B0031" w:rsidP="00E318E5">
      <w:pPr>
        <w:rPr>
          <w:b/>
        </w:rPr>
      </w:pPr>
    </w:p>
    <w:p w:rsidR="006B0031" w:rsidRDefault="006B0031" w:rsidP="00E318E5">
      <w:pPr>
        <w:rPr>
          <w:b/>
        </w:rPr>
      </w:pPr>
    </w:p>
    <w:p w:rsidR="006B0031" w:rsidRDefault="006B0031" w:rsidP="00E318E5">
      <w:pPr>
        <w:rPr>
          <w:b/>
        </w:rPr>
      </w:pPr>
    </w:p>
    <w:p w:rsidR="00E318E5" w:rsidRPr="000738FC" w:rsidRDefault="00E318E5" w:rsidP="00E318E5">
      <w:pPr>
        <w:rPr>
          <w:b/>
        </w:rPr>
      </w:pPr>
      <w:r w:rsidRPr="000738FC">
        <w:rPr>
          <w:b/>
        </w:rPr>
        <w:lastRenderedPageBreak/>
        <w:t xml:space="preserve">Wykres Nr </w:t>
      </w:r>
      <w:r w:rsidR="004A730B">
        <w:rPr>
          <w:b/>
        </w:rPr>
        <w:t>8</w:t>
      </w:r>
      <w:r w:rsidRPr="000738FC">
        <w:rPr>
          <w:b/>
        </w:rPr>
        <w:t xml:space="preserve">. </w:t>
      </w:r>
      <w:r>
        <w:rPr>
          <w:b/>
        </w:rPr>
        <w:t>Osoby doświadcza</w:t>
      </w:r>
      <w:r w:rsidR="00F732B6">
        <w:rPr>
          <w:b/>
        </w:rPr>
        <w:t>jące</w:t>
      </w:r>
      <w:r>
        <w:rPr>
          <w:b/>
        </w:rPr>
        <w:t xml:space="preserve"> przemocy domo</w:t>
      </w:r>
      <w:r w:rsidR="00937C66">
        <w:rPr>
          <w:b/>
        </w:rPr>
        <w:t>wej na przestrzeni lat 2014-2018</w:t>
      </w:r>
      <w:r>
        <w:rPr>
          <w:b/>
        </w:rPr>
        <w:t xml:space="preserve">. </w:t>
      </w:r>
    </w:p>
    <w:p w:rsidR="001A7944" w:rsidRDefault="005300A3" w:rsidP="004644A2">
      <w:pPr>
        <w:jc w:val="both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A7944" w:rsidRPr="001A7944" w:rsidRDefault="001A7944" w:rsidP="001A7944"/>
    <w:p w:rsidR="001A7944" w:rsidRPr="001A7944" w:rsidRDefault="001A7944" w:rsidP="001A7944"/>
    <w:p w:rsidR="00DC127A" w:rsidRDefault="001A7944" w:rsidP="001A7944">
      <w:pPr>
        <w:rPr>
          <w:i/>
          <w:sz w:val="22"/>
          <w:szCs w:val="22"/>
        </w:rPr>
      </w:pPr>
      <w:r w:rsidRPr="001A7944">
        <w:rPr>
          <w:i/>
          <w:sz w:val="22"/>
          <w:szCs w:val="22"/>
        </w:rPr>
        <w:t xml:space="preserve">Opracowanie: </w:t>
      </w:r>
    </w:p>
    <w:p w:rsidR="00DC127A" w:rsidRDefault="00DC127A" w:rsidP="001A7944">
      <w:pPr>
        <w:rPr>
          <w:i/>
          <w:sz w:val="22"/>
          <w:szCs w:val="22"/>
        </w:rPr>
      </w:pPr>
      <w:r>
        <w:rPr>
          <w:i/>
          <w:sz w:val="22"/>
          <w:szCs w:val="22"/>
        </w:rPr>
        <w:t>Ludmiła Kudyba -</w:t>
      </w:r>
      <w:r w:rsidR="00A90290">
        <w:rPr>
          <w:i/>
          <w:sz w:val="22"/>
          <w:szCs w:val="22"/>
        </w:rPr>
        <w:t xml:space="preserve"> starszy pracownik socjalny </w:t>
      </w:r>
      <w:r w:rsidR="001A7944">
        <w:rPr>
          <w:i/>
          <w:sz w:val="22"/>
          <w:szCs w:val="22"/>
        </w:rPr>
        <w:t>OIK</w:t>
      </w:r>
    </w:p>
    <w:p w:rsidR="005300A3" w:rsidRDefault="000C503A" w:rsidP="001A7944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Marlena Karwańska – stażysta </w:t>
      </w:r>
      <w:r w:rsidR="00DC127A">
        <w:rPr>
          <w:i/>
          <w:sz w:val="22"/>
          <w:szCs w:val="22"/>
        </w:rPr>
        <w:t>psycholog OIK</w:t>
      </w:r>
    </w:p>
    <w:p w:rsidR="00616F93" w:rsidRDefault="00826ADC" w:rsidP="00826ADC">
      <w:pPr>
        <w:ind w:left="637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Zatwierdziła</w:t>
      </w:r>
      <w:r w:rsidR="00616F93">
        <w:rPr>
          <w:i/>
          <w:sz w:val="22"/>
          <w:szCs w:val="22"/>
        </w:rPr>
        <w:t>:</w:t>
      </w:r>
    </w:p>
    <w:p w:rsidR="00616F93" w:rsidRDefault="00616F93" w:rsidP="001A7944">
      <w:pPr>
        <w:rPr>
          <w:i/>
          <w:sz w:val="22"/>
          <w:szCs w:val="22"/>
        </w:rPr>
      </w:pPr>
    </w:p>
    <w:p w:rsidR="00826ADC" w:rsidRPr="00826ADC" w:rsidRDefault="00826ADC" w:rsidP="00826ADC">
      <w:pPr>
        <w:ind w:left="5664"/>
        <w:jc w:val="center"/>
        <w:rPr>
          <w:i/>
          <w:sz w:val="22"/>
          <w:szCs w:val="22"/>
        </w:rPr>
      </w:pPr>
      <w:r w:rsidRPr="00826ADC">
        <w:rPr>
          <w:i/>
          <w:sz w:val="22"/>
          <w:szCs w:val="22"/>
        </w:rPr>
        <w:t>Anna Rechulicz</w:t>
      </w:r>
      <w:r w:rsidRPr="00826ADC">
        <w:rPr>
          <w:i/>
          <w:sz w:val="22"/>
          <w:szCs w:val="22"/>
        </w:rPr>
        <w:br/>
        <w:t xml:space="preserve">Kierownik </w:t>
      </w:r>
      <w:r w:rsidRPr="00826ADC">
        <w:rPr>
          <w:i/>
          <w:sz w:val="22"/>
          <w:szCs w:val="22"/>
        </w:rPr>
        <w:br/>
        <w:t>Ośrodka Interwencji Kryzysowej</w:t>
      </w:r>
      <w:r w:rsidRPr="00826ADC">
        <w:rPr>
          <w:i/>
          <w:sz w:val="22"/>
          <w:szCs w:val="22"/>
        </w:rPr>
        <w:br/>
        <w:t>w Tomaszowie Lubelskim</w:t>
      </w:r>
    </w:p>
    <w:p w:rsidR="00616F93" w:rsidRDefault="00616F93" w:rsidP="00616F93">
      <w:pPr>
        <w:spacing w:line="360" w:lineRule="auto"/>
        <w:rPr>
          <w:sz w:val="22"/>
          <w:szCs w:val="22"/>
        </w:rPr>
      </w:pPr>
    </w:p>
    <w:p w:rsidR="00616F93" w:rsidRPr="00616F93" w:rsidRDefault="00616F93" w:rsidP="00616F93">
      <w:pPr>
        <w:spacing w:line="360" w:lineRule="auto"/>
        <w:rPr>
          <w:b/>
          <w:sz w:val="21"/>
          <w:szCs w:val="21"/>
        </w:rPr>
      </w:pPr>
      <w:r w:rsidRPr="00616F93">
        <w:rPr>
          <w:b/>
          <w:sz w:val="21"/>
          <w:szCs w:val="21"/>
        </w:rPr>
        <w:t>Wykaz wykresów:</w:t>
      </w:r>
    </w:p>
    <w:p w:rsidR="00616F93" w:rsidRPr="00616F93" w:rsidRDefault="00616F93" w:rsidP="00616F93">
      <w:pPr>
        <w:spacing w:line="360" w:lineRule="auto"/>
        <w:jc w:val="both"/>
        <w:rPr>
          <w:sz w:val="21"/>
          <w:szCs w:val="21"/>
        </w:rPr>
      </w:pPr>
      <w:r w:rsidRPr="00616F93">
        <w:rPr>
          <w:sz w:val="21"/>
          <w:szCs w:val="21"/>
        </w:rPr>
        <w:t xml:space="preserve">Wykres Nr 1. Liczba rodzin objętych pomocą Zespołów Interdyscyplinarnych ds. przeciwdziałania przemocy w rodzinie w powiecie </w:t>
      </w:r>
      <w:r w:rsidR="004231CF">
        <w:rPr>
          <w:sz w:val="21"/>
          <w:szCs w:val="21"/>
        </w:rPr>
        <w:t>tomaszowskim w latach 2014- 2018</w:t>
      </w:r>
      <w:r w:rsidRPr="00616F93">
        <w:rPr>
          <w:sz w:val="21"/>
          <w:szCs w:val="21"/>
        </w:rPr>
        <w:t xml:space="preserve"> (str. 2)</w:t>
      </w:r>
    </w:p>
    <w:p w:rsidR="00616F93" w:rsidRPr="00616F93" w:rsidRDefault="00616F93" w:rsidP="00616F93">
      <w:pPr>
        <w:spacing w:line="360" w:lineRule="auto"/>
        <w:jc w:val="both"/>
        <w:rPr>
          <w:sz w:val="21"/>
          <w:szCs w:val="21"/>
        </w:rPr>
      </w:pPr>
      <w:r w:rsidRPr="00616F93">
        <w:rPr>
          <w:sz w:val="21"/>
          <w:szCs w:val="21"/>
        </w:rPr>
        <w:t xml:space="preserve">Wykres Nr 2. Liczba rodzin objętych pomocą ZI </w:t>
      </w:r>
      <w:r w:rsidR="00C049AE">
        <w:rPr>
          <w:sz w:val="21"/>
          <w:szCs w:val="21"/>
        </w:rPr>
        <w:t>w gminach</w:t>
      </w:r>
      <w:r w:rsidRPr="00616F93">
        <w:rPr>
          <w:sz w:val="21"/>
          <w:szCs w:val="21"/>
        </w:rPr>
        <w:t xml:space="preserve"> powiatu tomaszowskiego (str. 3)</w:t>
      </w:r>
    </w:p>
    <w:p w:rsidR="00616F93" w:rsidRPr="00616F93" w:rsidRDefault="00616F93" w:rsidP="00616F93">
      <w:pPr>
        <w:spacing w:line="360" w:lineRule="auto"/>
        <w:jc w:val="both"/>
        <w:rPr>
          <w:sz w:val="21"/>
          <w:szCs w:val="21"/>
        </w:rPr>
      </w:pPr>
      <w:r w:rsidRPr="00616F93">
        <w:rPr>
          <w:sz w:val="21"/>
          <w:szCs w:val="21"/>
        </w:rPr>
        <w:t>Wykres Nr 3. Przejawy przemocy domowej (str. 4)</w:t>
      </w:r>
    </w:p>
    <w:p w:rsidR="00616F93" w:rsidRPr="00616F93" w:rsidRDefault="00616F93" w:rsidP="00616F93">
      <w:pPr>
        <w:spacing w:line="360" w:lineRule="auto"/>
        <w:rPr>
          <w:sz w:val="21"/>
          <w:szCs w:val="21"/>
        </w:rPr>
      </w:pPr>
      <w:r w:rsidRPr="00616F93">
        <w:rPr>
          <w:sz w:val="21"/>
          <w:szCs w:val="21"/>
        </w:rPr>
        <w:t>Wykres Nr 4. Osoby podejrzewane o doświadczanie przemocy (str. 5)</w:t>
      </w:r>
    </w:p>
    <w:p w:rsidR="00616F93" w:rsidRPr="00616F93" w:rsidRDefault="00616F93" w:rsidP="00616F93">
      <w:pPr>
        <w:spacing w:line="360" w:lineRule="auto"/>
        <w:rPr>
          <w:sz w:val="21"/>
          <w:szCs w:val="21"/>
        </w:rPr>
      </w:pPr>
      <w:r w:rsidRPr="00616F93">
        <w:rPr>
          <w:sz w:val="21"/>
          <w:szCs w:val="21"/>
        </w:rPr>
        <w:t>Wykres Nr 5. Osoby podejrzewane o stosowanie przemocy domowej (str. 5)</w:t>
      </w:r>
    </w:p>
    <w:p w:rsidR="00616F93" w:rsidRPr="00616F93" w:rsidRDefault="00616F93" w:rsidP="00616F93">
      <w:pPr>
        <w:spacing w:line="360" w:lineRule="auto"/>
        <w:rPr>
          <w:sz w:val="21"/>
          <w:szCs w:val="21"/>
        </w:rPr>
      </w:pPr>
      <w:r w:rsidRPr="00616F93">
        <w:rPr>
          <w:sz w:val="21"/>
          <w:szCs w:val="21"/>
        </w:rPr>
        <w:t>Wykres Nr 6. Działania podejmowane przez Zespoły Interdyscyplinarne wobec rodzin, w których zaistniało podejrzenie występowania przemocy domowej (str. 7)</w:t>
      </w:r>
    </w:p>
    <w:p w:rsidR="00616F93" w:rsidRPr="00616F93" w:rsidRDefault="00616F93" w:rsidP="00616F93">
      <w:pPr>
        <w:spacing w:line="360" w:lineRule="auto"/>
        <w:rPr>
          <w:sz w:val="21"/>
          <w:szCs w:val="21"/>
        </w:rPr>
      </w:pPr>
      <w:r w:rsidRPr="00616F93">
        <w:rPr>
          <w:sz w:val="21"/>
          <w:szCs w:val="21"/>
        </w:rPr>
        <w:t>Wykres Nr 7. Osoby podejrzewane o stosowanie przemocy domo</w:t>
      </w:r>
      <w:r w:rsidR="004231CF">
        <w:rPr>
          <w:sz w:val="21"/>
          <w:szCs w:val="21"/>
        </w:rPr>
        <w:t>wej na przestrzeni lat 2014-2018</w:t>
      </w:r>
      <w:r w:rsidRPr="00616F93">
        <w:rPr>
          <w:sz w:val="21"/>
          <w:szCs w:val="21"/>
        </w:rPr>
        <w:t xml:space="preserve"> (str. 8)</w:t>
      </w:r>
    </w:p>
    <w:p w:rsidR="00616F93" w:rsidRDefault="00616F93" w:rsidP="00616F93">
      <w:pPr>
        <w:spacing w:line="360" w:lineRule="auto"/>
        <w:rPr>
          <w:sz w:val="21"/>
          <w:szCs w:val="21"/>
        </w:rPr>
      </w:pPr>
      <w:r w:rsidRPr="00616F93">
        <w:rPr>
          <w:sz w:val="21"/>
          <w:szCs w:val="21"/>
        </w:rPr>
        <w:t xml:space="preserve">Wykres Nr 8. Osoby doświadczające przemocy domowej na przestrzeni lat </w:t>
      </w:r>
      <w:r w:rsidR="004231CF">
        <w:rPr>
          <w:sz w:val="21"/>
          <w:szCs w:val="21"/>
        </w:rPr>
        <w:t>2014-2018</w:t>
      </w:r>
      <w:r w:rsidRPr="00616F93">
        <w:rPr>
          <w:sz w:val="21"/>
          <w:szCs w:val="21"/>
        </w:rPr>
        <w:t xml:space="preserve"> (str. 9)</w:t>
      </w:r>
    </w:p>
    <w:p w:rsidR="00D47FF7" w:rsidRPr="00D47FF7" w:rsidRDefault="00D47FF7" w:rsidP="00616F93">
      <w:pPr>
        <w:spacing w:line="360" w:lineRule="auto"/>
        <w:rPr>
          <w:b/>
          <w:sz w:val="21"/>
          <w:szCs w:val="21"/>
        </w:rPr>
      </w:pPr>
      <w:r w:rsidRPr="00D47FF7">
        <w:rPr>
          <w:b/>
          <w:sz w:val="21"/>
          <w:szCs w:val="21"/>
        </w:rPr>
        <w:t>Wykaz tabel:</w:t>
      </w:r>
    </w:p>
    <w:p w:rsidR="00D47FF7" w:rsidRPr="00D47FF7" w:rsidRDefault="00D47FF7" w:rsidP="00D47FF7">
      <w:pPr>
        <w:spacing w:line="360" w:lineRule="auto"/>
        <w:jc w:val="both"/>
        <w:rPr>
          <w:sz w:val="21"/>
          <w:szCs w:val="21"/>
        </w:rPr>
      </w:pPr>
      <w:r w:rsidRPr="00D47FF7">
        <w:rPr>
          <w:sz w:val="21"/>
          <w:szCs w:val="21"/>
        </w:rPr>
        <w:t>Tab. 1. Liczbowy i procentowy wzrost/spadek zarejestrowanych przypadków przemocy</w:t>
      </w:r>
      <w:r>
        <w:rPr>
          <w:sz w:val="21"/>
          <w:szCs w:val="21"/>
        </w:rPr>
        <w:t xml:space="preserve"> </w:t>
      </w:r>
      <w:r w:rsidRPr="00D47FF7">
        <w:rPr>
          <w:sz w:val="21"/>
          <w:szCs w:val="21"/>
        </w:rPr>
        <w:t>w gminach (porównanie rok do roku)</w:t>
      </w:r>
      <w:r>
        <w:rPr>
          <w:sz w:val="21"/>
          <w:szCs w:val="21"/>
        </w:rPr>
        <w:t xml:space="preserve"> (str. 2)</w:t>
      </w:r>
    </w:p>
    <w:sectPr w:rsidR="00D47FF7" w:rsidRPr="00D47FF7" w:rsidSect="008939E3">
      <w:headerReference w:type="default" r:id="rId19"/>
      <w:footerReference w:type="defaul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BD2" w:rsidRDefault="00F91BD2" w:rsidP="00094C24">
      <w:r>
        <w:separator/>
      </w:r>
    </w:p>
  </w:endnote>
  <w:endnote w:type="continuationSeparator" w:id="0">
    <w:p w:rsidR="00F91BD2" w:rsidRDefault="00F91BD2" w:rsidP="0009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3A" w:rsidRDefault="00D14A3A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Ośrodek Interwencji Kryzysowej w Tomaszowie Lubelskim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845B8C" w:rsidRPr="00845B8C">
      <w:rPr>
        <w:rFonts w:asciiTheme="majorHAnsi" w:eastAsiaTheme="majorEastAsia" w:hAnsiTheme="majorHAnsi" w:cstheme="majorBidi"/>
        <w:noProof/>
      </w:rPr>
      <w:t>9</w:t>
    </w:r>
    <w:r>
      <w:rPr>
        <w:rFonts w:asciiTheme="majorHAnsi" w:eastAsiaTheme="majorEastAsia" w:hAnsiTheme="majorHAnsi" w:cstheme="majorBidi"/>
      </w:rPr>
      <w:fldChar w:fldCharType="end"/>
    </w:r>
  </w:p>
  <w:p w:rsidR="008E5F69" w:rsidRDefault="008E5F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3A" w:rsidRDefault="00D14A3A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826ADC" w:rsidRPr="00826AD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939E3" w:rsidRPr="008939E3" w:rsidRDefault="008939E3">
    <w:pPr>
      <w:pStyle w:val="Stopk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BD2" w:rsidRDefault="00F91BD2" w:rsidP="00094C24">
      <w:r>
        <w:separator/>
      </w:r>
    </w:p>
  </w:footnote>
  <w:footnote w:type="continuationSeparator" w:id="0">
    <w:p w:rsidR="00F91BD2" w:rsidRDefault="00F91BD2" w:rsidP="00094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11A98F99BD984D2F9784428301E552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939E3" w:rsidRDefault="008939E3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939E3">
          <w:rPr>
            <w:rFonts w:asciiTheme="majorHAnsi" w:eastAsiaTheme="majorEastAsia" w:hAnsiTheme="majorHAnsi" w:cstheme="majorBidi"/>
            <w:sz w:val="32"/>
            <w:szCs w:val="32"/>
          </w:rPr>
          <w:t>Zjawisko przemocy w rodzinie w roku 2018 w praktyce zespołów interdyscyplinarnych z powiatu tomaszowskiego</w:t>
        </w:r>
      </w:p>
    </w:sdtContent>
  </w:sdt>
  <w:p w:rsidR="008939E3" w:rsidRDefault="008939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1E72"/>
    <w:multiLevelType w:val="hybridMultilevel"/>
    <w:tmpl w:val="41C6C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64F97"/>
    <w:multiLevelType w:val="hybridMultilevel"/>
    <w:tmpl w:val="362C9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32DCC"/>
    <w:multiLevelType w:val="hybridMultilevel"/>
    <w:tmpl w:val="5394C2F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9F"/>
    <w:rsid w:val="0000223E"/>
    <w:rsid w:val="000045B7"/>
    <w:rsid w:val="00046F7F"/>
    <w:rsid w:val="000704CE"/>
    <w:rsid w:val="000738FC"/>
    <w:rsid w:val="00084D66"/>
    <w:rsid w:val="00093118"/>
    <w:rsid w:val="00094C24"/>
    <w:rsid w:val="000A39E9"/>
    <w:rsid w:val="000C503A"/>
    <w:rsid w:val="00101388"/>
    <w:rsid w:val="0010379E"/>
    <w:rsid w:val="00112F79"/>
    <w:rsid w:val="00114A4D"/>
    <w:rsid w:val="00116F20"/>
    <w:rsid w:val="001202D4"/>
    <w:rsid w:val="00121121"/>
    <w:rsid w:val="00157AF8"/>
    <w:rsid w:val="001653B4"/>
    <w:rsid w:val="00174562"/>
    <w:rsid w:val="0019334E"/>
    <w:rsid w:val="001A7944"/>
    <w:rsid w:val="001B46D5"/>
    <w:rsid w:val="001C6CA6"/>
    <w:rsid w:val="001D22DA"/>
    <w:rsid w:val="001F2BD3"/>
    <w:rsid w:val="00205620"/>
    <w:rsid w:val="00211EA3"/>
    <w:rsid w:val="0021213A"/>
    <w:rsid w:val="00232FF3"/>
    <w:rsid w:val="002405EC"/>
    <w:rsid w:val="00251981"/>
    <w:rsid w:val="00260C17"/>
    <w:rsid w:val="00267184"/>
    <w:rsid w:val="00273359"/>
    <w:rsid w:val="00297DF0"/>
    <w:rsid w:val="002A7B86"/>
    <w:rsid w:val="002B428D"/>
    <w:rsid w:val="002D0074"/>
    <w:rsid w:val="002E7A94"/>
    <w:rsid w:val="002F28C6"/>
    <w:rsid w:val="00310774"/>
    <w:rsid w:val="003417A8"/>
    <w:rsid w:val="003432A6"/>
    <w:rsid w:val="0036763B"/>
    <w:rsid w:val="00373610"/>
    <w:rsid w:val="00387F23"/>
    <w:rsid w:val="00393791"/>
    <w:rsid w:val="003A6F9F"/>
    <w:rsid w:val="003D03D6"/>
    <w:rsid w:val="003D4F81"/>
    <w:rsid w:val="003D5E6B"/>
    <w:rsid w:val="004231CF"/>
    <w:rsid w:val="00430AE6"/>
    <w:rsid w:val="00451222"/>
    <w:rsid w:val="004644A2"/>
    <w:rsid w:val="00475480"/>
    <w:rsid w:val="004A730B"/>
    <w:rsid w:val="004A7C58"/>
    <w:rsid w:val="004B6F1F"/>
    <w:rsid w:val="004D0055"/>
    <w:rsid w:val="00510CC0"/>
    <w:rsid w:val="0051236C"/>
    <w:rsid w:val="005300A3"/>
    <w:rsid w:val="0054569E"/>
    <w:rsid w:val="005464C5"/>
    <w:rsid w:val="0054772F"/>
    <w:rsid w:val="00556741"/>
    <w:rsid w:val="005743E2"/>
    <w:rsid w:val="00581920"/>
    <w:rsid w:val="005967F5"/>
    <w:rsid w:val="005A71EC"/>
    <w:rsid w:val="005B369D"/>
    <w:rsid w:val="005B7DA2"/>
    <w:rsid w:val="005C3C90"/>
    <w:rsid w:val="005C4428"/>
    <w:rsid w:val="005E759F"/>
    <w:rsid w:val="005F3E37"/>
    <w:rsid w:val="00616F93"/>
    <w:rsid w:val="00647F6E"/>
    <w:rsid w:val="00680FFB"/>
    <w:rsid w:val="006873C9"/>
    <w:rsid w:val="00691B96"/>
    <w:rsid w:val="006930EE"/>
    <w:rsid w:val="006A73C5"/>
    <w:rsid w:val="006B0031"/>
    <w:rsid w:val="006E558D"/>
    <w:rsid w:val="007151A2"/>
    <w:rsid w:val="00717E0E"/>
    <w:rsid w:val="0078663F"/>
    <w:rsid w:val="007910D2"/>
    <w:rsid w:val="00795F9E"/>
    <w:rsid w:val="007A0750"/>
    <w:rsid w:val="007A4D92"/>
    <w:rsid w:val="007A69C1"/>
    <w:rsid w:val="007B380F"/>
    <w:rsid w:val="007B439E"/>
    <w:rsid w:val="007C0982"/>
    <w:rsid w:val="007C78F2"/>
    <w:rsid w:val="007E2C8E"/>
    <w:rsid w:val="007F7A59"/>
    <w:rsid w:val="00826ADC"/>
    <w:rsid w:val="00845B8C"/>
    <w:rsid w:val="008474BD"/>
    <w:rsid w:val="008939E3"/>
    <w:rsid w:val="008A0E82"/>
    <w:rsid w:val="008B0C45"/>
    <w:rsid w:val="008C7DB9"/>
    <w:rsid w:val="008D709B"/>
    <w:rsid w:val="008E5F69"/>
    <w:rsid w:val="00916AB8"/>
    <w:rsid w:val="009208BA"/>
    <w:rsid w:val="00930BA7"/>
    <w:rsid w:val="00937C66"/>
    <w:rsid w:val="00955CDC"/>
    <w:rsid w:val="0096251B"/>
    <w:rsid w:val="00964C7B"/>
    <w:rsid w:val="009D432C"/>
    <w:rsid w:val="009F3FE9"/>
    <w:rsid w:val="00A04128"/>
    <w:rsid w:val="00A2587B"/>
    <w:rsid w:val="00A37E24"/>
    <w:rsid w:val="00A626D4"/>
    <w:rsid w:val="00A760D4"/>
    <w:rsid w:val="00A866B1"/>
    <w:rsid w:val="00A90290"/>
    <w:rsid w:val="00AB26A2"/>
    <w:rsid w:val="00AB3F48"/>
    <w:rsid w:val="00AD7BD4"/>
    <w:rsid w:val="00AE43B5"/>
    <w:rsid w:val="00AF528C"/>
    <w:rsid w:val="00B10B9A"/>
    <w:rsid w:val="00B4736B"/>
    <w:rsid w:val="00B54E74"/>
    <w:rsid w:val="00B93A3A"/>
    <w:rsid w:val="00BA0B4A"/>
    <w:rsid w:val="00BC1341"/>
    <w:rsid w:val="00C049AE"/>
    <w:rsid w:val="00C12733"/>
    <w:rsid w:val="00C2472D"/>
    <w:rsid w:val="00C858AF"/>
    <w:rsid w:val="00CC042C"/>
    <w:rsid w:val="00CD3BE6"/>
    <w:rsid w:val="00D12034"/>
    <w:rsid w:val="00D14A3A"/>
    <w:rsid w:val="00D15E1F"/>
    <w:rsid w:val="00D17224"/>
    <w:rsid w:val="00D47FF7"/>
    <w:rsid w:val="00D633B3"/>
    <w:rsid w:val="00D85134"/>
    <w:rsid w:val="00D92F6C"/>
    <w:rsid w:val="00DB7816"/>
    <w:rsid w:val="00DC127A"/>
    <w:rsid w:val="00DC4F3A"/>
    <w:rsid w:val="00DD0FF1"/>
    <w:rsid w:val="00DE7C49"/>
    <w:rsid w:val="00DF7118"/>
    <w:rsid w:val="00E318E5"/>
    <w:rsid w:val="00E42D74"/>
    <w:rsid w:val="00E439BE"/>
    <w:rsid w:val="00E44DC2"/>
    <w:rsid w:val="00E462D9"/>
    <w:rsid w:val="00E503BB"/>
    <w:rsid w:val="00E50582"/>
    <w:rsid w:val="00E56927"/>
    <w:rsid w:val="00E628F0"/>
    <w:rsid w:val="00E70C09"/>
    <w:rsid w:val="00E74ED6"/>
    <w:rsid w:val="00E82933"/>
    <w:rsid w:val="00E92754"/>
    <w:rsid w:val="00E9391A"/>
    <w:rsid w:val="00E9707B"/>
    <w:rsid w:val="00EB0195"/>
    <w:rsid w:val="00EB4AC6"/>
    <w:rsid w:val="00EE45F7"/>
    <w:rsid w:val="00F103E0"/>
    <w:rsid w:val="00F27BA6"/>
    <w:rsid w:val="00F40BFE"/>
    <w:rsid w:val="00F65AA4"/>
    <w:rsid w:val="00F732B6"/>
    <w:rsid w:val="00F8670F"/>
    <w:rsid w:val="00F91BD2"/>
    <w:rsid w:val="00FC4FC3"/>
    <w:rsid w:val="00FD5A69"/>
    <w:rsid w:val="00FE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D432C"/>
    <w:pPr>
      <w:spacing w:line="360" w:lineRule="auto"/>
      <w:ind w:firstLine="709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43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3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32C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4C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4C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4C2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93A3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2B428D"/>
    <w:pPr>
      <w:spacing w:after="200"/>
    </w:pPr>
    <w:rPr>
      <w:b/>
      <w:bCs/>
      <w:color w:val="4F81BD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930E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71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71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71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718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45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8939E3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D432C"/>
    <w:pPr>
      <w:spacing w:line="360" w:lineRule="auto"/>
      <w:ind w:firstLine="709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43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3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32C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4C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4C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4C2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93A3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2B428D"/>
    <w:pPr>
      <w:spacing w:after="200"/>
    </w:pPr>
    <w:rPr>
      <w:b/>
      <w:bCs/>
      <w:color w:val="4F81BD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930E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71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71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71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718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45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8939E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glossaryDocument" Target="glossary/document.xml"/><Relationship Id="rId10" Type="http://schemas.openxmlformats.org/officeDocument/2006/relationships/hyperlink" Target="mailto:oik.tomaszow@interia.p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4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Liczba rodzin objętych pomocą ZI w latach 2014</a:t>
            </a:r>
            <a:r>
              <a:rPr lang="pl-PL"/>
              <a:t> </a:t>
            </a:r>
            <a:r>
              <a:rPr lang="en-US"/>
              <a:t>- 201</a:t>
            </a:r>
            <a:r>
              <a:rPr lang="pl-PL"/>
              <a:t>8</a:t>
            </a:r>
            <a:endParaRPr 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rodzin objętych pomocą ZI w latach 2014- 2018</c:v>
                </c:pt>
              </c:strCache>
            </c:strRef>
          </c:tx>
          <c:invertIfNegative val="0"/>
          <c:cat>
            <c:numRef>
              <c:f>Arkusz1!$A$2:$A$6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Arkusz1!$B$2:$B$6</c:f>
              <c:numCache>
                <c:formatCode>General</c:formatCode>
                <c:ptCount val="5"/>
                <c:pt idx="0">
                  <c:v>123</c:v>
                </c:pt>
                <c:pt idx="1">
                  <c:v>246</c:v>
                </c:pt>
                <c:pt idx="2">
                  <c:v>239</c:v>
                </c:pt>
                <c:pt idx="3">
                  <c:v>275</c:v>
                </c:pt>
                <c:pt idx="4">
                  <c:v>329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530624"/>
        <c:axId val="104694528"/>
      </c:barChart>
      <c:catAx>
        <c:axId val="3753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4694528"/>
        <c:crosses val="autoZero"/>
        <c:auto val="1"/>
        <c:lblAlgn val="ctr"/>
        <c:lblOffset val="100"/>
        <c:noMultiLvlLbl val="0"/>
      </c:catAx>
      <c:valAx>
        <c:axId val="104694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5306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Liczba rodzin objętych pomocą ZI w poszczególnych gminach:</c:v>
                </c:pt>
              </c:strCache>
            </c:strRef>
          </c:tx>
          <c:explosion val="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Lbls>
            <c:dLbl>
              <c:idx val="12"/>
              <c:layout>
                <c:manualLayout>
                  <c:x val="3.4766174287726831E-3"/>
                  <c:y val="6.381015929133464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Arkusz1!$A$2:$A$14</c:f>
              <c:strCache>
                <c:ptCount val="13"/>
                <c:pt idx="0">
                  <c:v>Miasto Tomaszów Lubelski (58)</c:v>
                </c:pt>
                <c:pt idx="1">
                  <c:v>Tyszowce (53)</c:v>
                </c:pt>
                <c:pt idx="2">
                  <c:v>Gmina Tomaszów Lubelski (49)</c:v>
                </c:pt>
                <c:pt idx="3">
                  <c:v>Tarnawatka (28)</c:v>
                </c:pt>
                <c:pt idx="4">
                  <c:v>Susiec (28)</c:v>
                </c:pt>
                <c:pt idx="5">
                  <c:v>Jarczów (19)</c:v>
                </c:pt>
                <c:pt idx="6">
                  <c:v>Łaszczów (19)</c:v>
                </c:pt>
                <c:pt idx="7">
                  <c:v>Rachanie (17)</c:v>
                </c:pt>
                <c:pt idx="8">
                  <c:v>Lubycza Królewska (15)</c:v>
                </c:pt>
                <c:pt idx="9">
                  <c:v>Telatyn (14)</c:v>
                </c:pt>
                <c:pt idx="10">
                  <c:v>Ulhówek (14)</c:v>
                </c:pt>
                <c:pt idx="11">
                  <c:v>Krynice (9)</c:v>
                </c:pt>
                <c:pt idx="12">
                  <c:v>Bełżec (6)</c:v>
                </c:pt>
              </c:strCache>
            </c:strRef>
          </c:cat>
          <c:val>
            <c:numRef>
              <c:f>Arkusz1!$B$2:$B$14</c:f>
              <c:numCache>
                <c:formatCode>General</c:formatCode>
                <c:ptCount val="13"/>
                <c:pt idx="0">
                  <c:v>58</c:v>
                </c:pt>
                <c:pt idx="1">
                  <c:v>53</c:v>
                </c:pt>
                <c:pt idx="2">
                  <c:v>49</c:v>
                </c:pt>
                <c:pt idx="3">
                  <c:v>28</c:v>
                </c:pt>
                <c:pt idx="4">
                  <c:v>28</c:v>
                </c:pt>
                <c:pt idx="5">
                  <c:v>19</c:v>
                </c:pt>
                <c:pt idx="6">
                  <c:v>19</c:v>
                </c:pt>
                <c:pt idx="7">
                  <c:v>17</c:v>
                </c:pt>
                <c:pt idx="8">
                  <c:v>15</c:v>
                </c:pt>
                <c:pt idx="9">
                  <c:v>14</c:v>
                </c:pt>
                <c:pt idx="10">
                  <c:v>14</c:v>
                </c:pt>
                <c:pt idx="11">
                  <c:v>9</c:v>
                </c:pt>
                <c:pt idx="1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Przejawy przemocy domowej: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Arkusz1!$A$2:$A$6</c:f>
              <c:strCache>
                <c:ptCount val="5"/>
                <c:pt idx="0">
                  <c:v>Przemoc psychiczna (279)</c:v>
                </c:pt>
                <c:pt idx="1">
                  <c:v>Przemoc fizyczna (144)</c:v>
                </c:pt>
                <c:pt idx="2">
                  <c:v>Inne (88)</c:v>
                </c:pt>
                <c:pt idx="3">
                  <c:v>Uszkodzenia ciała (29)</c:v>
                </c:pt>
                <c:pt idx="4">
                  <c:v>Przemoc seksualna (5)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279</c:v>
                </c:pt>
                <c:pt idx="1">
                  <c:v>144</c:v>
                </c:pt>
                <c:pt idx="2">
                  <c:v>88</c:v>
                </c:pt>
                <c:pt idx="3">
                  <c:v>29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Osoby podejrzewane o doświadczanie przemocy: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Arkusz1!$A$2:$A$4</c:f>
              <c:strCache>
                <c:ptCount val="3"/>
                <c:pt idx="0">
                  <c:v>Kobiety (298)</c:v>
                </c:pt>
                <c:pt idx="1">
                  <c:v>Mężczyźni (33)</c:v>
                </c:pt>
                <c:pt idx="2">
                  <c:v>Dzieci do 18 roku życia (83)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298</c:v>
                </c:pt>
                <c:pt idx="1">
                  <c:v>33</c:v>
                </c:pt>
                <c:pt idx="2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>
        <c:manualLayout>
          <c:xMode val="edge"/>
          <c:yMode val="edge"/>
          <c:x val="0.10907469320589093"/>
          <c:y val="4.58860525645973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Podejrzani o stosowanie przemocy domowej</c:v>
                </c:pt>
              </c:strCache>
            </c:strRef>
          </c:tx>
          <c:explosion val="27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5.9410265849244741E-2"/>
                  <c:y val="4.1702924130231338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4.7985214724389984E-2"/>
                  <c:y val="-0.17515228134697161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5.484042532136784E-2"/>
                  <c:y val="-1.796345247672681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ln>
                <a:beve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Arkusz1!$A$2:$A$4</c:f>
              <c:strCache>
                <c:ptCount val="3"/>
                <c:pt idx="0">
                  <c:v>Kobiety (18)</c:v>
                </c:pt>
                <c:pt idx="1">
                  <c:v>Mężczyźni (287)</c:v>
                </c:pt>
                <c:pt idx="2">
                  <c:v>Dzieci do 18 roku życia (2)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18</c:v>
                </c:pt>
                <c:pt idx="1">
                  <c:v>287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layout>
        <c:manualLayout>
          <c:xMode val="edge"/>
          <c:yMode val="edge"/>
          <c:x val="0.18946430801795938"/>
          <c:y val="1.509433962264151E-2"/>
        </c:manualLayout>
      </c:layout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145995069506245"/>
          <c:y val="0.13605903035705441"/>
          <c:w val="0.7757145950815556"/>
          <c:h val="0.4521994750656168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Działania podejmowane przez ZI</c:v>
                </c:pt>
              </c:strCache>
            </c:strRef>
          </c:tx>
          <c:invertIfNegative val="0"/>
          <c:cat>
            <c:strRef>
              <c:f>Arkusz1!$A$2:$A$11</c:f>
              <c:strCache>
                <c:ptCount val="10"/>
                <c:pt idx="0">
                  <c:v>Wniosek o przymusowe leczenie odwykowe (0)</c:v>
                </c:pt>
                <c:pt idx="1">
                  <c:v>Wniosek o ogr./zaw./pozb. władzy rodzicielskiej (1)</c:v>
                </c:pt>
                <c:pt idx="2">
                  <c:v>Wniosek o wgląd w syt. rodziny (4)</c:v>
                </c:pt>
                <c:pt idx="3">
                  <c:v>Przydzielenie asystenta rodziny (5)</c:v>
                </c:pt>
                <c:pt idx="4">
                  <c:v>Zawiadomienie o przestępstwie (7)</c:v>
                </c:pt>
                <c:pt idx="5">
                  <c:v>Kierowanie do udz. w programach kor.-edu. (24)</c:v>
                </c:pt>
                <c:pt idx="6">
                  <c:v>Inna forma pomocy (28)</c:v>
                </c:pt>
                <c:pt idx="7">
                  <c:v>Komisja rozwiązywania problemów alk. (84)</c:v>
                </c:pt>
                <c:pt idx="8">
                  <c:v>Przedstawienie oferty SOW (106)</c:v>
                </c:pt>
                <c:pt idx="9">
                  <c:v>Przedstawienie oferty OIK (220)</c:v>
                </c:pt>
              </c:strCache>
            </c:strRef>
          </c:cat>
          <c:val>
            <c:numRef>
              <c:f>Arkusz1!$B$2:$B$11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5</c:v>
                </c:pt>
                <c:pt idx="4">
                  <c:v>7</c:v>
                </c:pt>
                <c:pt idx="5">
                  <c:v>24</c:v>
                </c:pt>
                <c:pt idx="6">
                  <c:v>28</c:v>
                </c:pt>
                <c:pt idx="7">
                  <c:v>84</c:v>
                </c:pt>
                <c:pt idx="8">
                  <c:v>106</c:v>
                </c:pt>
                <c:pt idx="9">
                  <c:v>220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cone"/>
        <c:axId val="107074304"/>
        <c:axId val="107075840"/>
        <c:axId val="0"/>
      </c:bar3DChart>
      <c:catAx>
        <c:axId val="107074304"/>
        <c:scaling>
          <c:orientation val="minMax"/>
        </c:scaling>
        <c:delete val="0"/>
        <c:axPos val="b"/>
        <c:majorTickMark val="out"/>
        <c:minorTickMark val="none"/>
        <c:tickLblPos val="nextTo"/>
        <c:crossAx val="107075840"/>
        <c:crosses val="autoZero"/>
        <c:auto val="1"/>
        <c:lblAlgn val="ctr"/>
        <c:lblOffset val="100"/>
        <c:noMultiLvlLbl val="0"/>
      </c:catAx>
      <c:valAx>
        <c:axId val="107075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7074304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Arkusz1!$B$2</c:f>
              <c:strCache>
                <c:ptCount val="1"/>
                <c:pt idx="0">
                  <c:v>Dzieci</c:v>
                </c:pt>
              </c:strCache>
            </c:strRef>
          </c:tx>
          <c:invertIfNegative val="0"/>
          <c:cat>
            <c:strRef>
              <c:f>Arkusz1!$A$3:$A$7</c:f>
              <c:strCache>
                <c:ptCount val="5"/>
                <c:pt idx="0">
                  <c:v>2014 (138 osób)</c:v>
                </c:pt>
                <c:pt idx="1">
                  <c:v>2015 (233 osoby)</c:v>
                </c:pt>
                <c:pt idx="2">
                  <c:v>2016 (224 osoby)</c:v>
                </c:pt>
                <c:pt idx="3">
                  <c:v>2017 (262 osoby)</c:v>
                </c:pt>
                <c:pt idx="4">
                  <c:v>2018 (307 osób)</c:v>
                </c:pt>
              </c:strCache>
            </c:strRef>
          </c:cat>
          <c:val>
            <c:numRef>
              <c:f>Arkusz1!$B$3:$B$7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Arkusz1!$C$2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cat>
            <c:strRef>
              <c:f>Arkusz1!$A$3:$A$7</c:f>
              <c:strCache>
                <c:ptCount val="5"/>
                <c:pt idx="0">
                  <c:v>2014 (138 osób)</c:v>
                </c:pt>
                <c:pt idx="1">
                  <c:v>2015 (233 osoby)</c:v>
                </c:pt>
                <c:pt idx="2">
                  <c:v>2016 (224 osoby)</c:v>
                </c:pt>
                <c:pt idx="3">
                  <c:v>2017 (262 osoby)</c:v>
                </c:pt>
                <c:pt idx="4">
                  <c:v>2018 (307 osób)</c:v>
                </c:pt>
              </c:strCache>
            </c:strRef>
          </c:cat>
          <c:val>
            <c:numRef>
              <c:f>Arkusz1!$C$3:$C$7</c:f>
              <c:numCache>
                <c:formatCode>General</c:formatCode>
                <c:ptCount val="5"/>
                <c:pt idx="0">
                  <c:v>9</c:v>
                </c:pt>
                <c:pt idx="1">
                  <c:v>13</c:v>
                </c:pt>
                <c:pt idx="2">
                  <c:v>16</c:v>
                </c:pt>
                <c:pt idx="3">
                  <c:v>22</c:v>
                </c:pt>
                <c:pt idx="4">
                  <c:v>18</c:v>
                </c:pt>
              </c:numCache>
            </c:numRef>
          </c:val>
        </c:ser>
        <c:ser>
          <c:idx val="2"/>
          <c:order val="2"/>
          <c:tx>
            <c:strRef>
              <c:f>Arkusz1!$D$2</c:f>
              <c:strCache>
                <c:ptCount val="1"/>
                <c:pt idx="0">
                  <c:v>Męźczyżni</c:v>
                </c:pt>
              </c:strCache>
            </c:strRef>
          </c:tx>
          <c:invertIfNegative val="0"/>
          <c:cat>
            <c:strRef>
              <c:f>Arkusz1!$A$3:$A$7</c:f>
              <c:strCache>
                <c:ptCount val="5"/>
                <c:pt idx="0">
                  <c:v>2014 (138 osób)</c:v>
                </c:pt>
                <c:pt idx="1">
                  <c:v>2015 (233 osoby)</c:v>
                </c:pt>
                <c:pt idx="2">
                  <c:v>2016 (224 osoby)</c:v>
                </c:pt>
                <c:pt idx="3">
                  <c:v>2017 (262 osoby)</c:v>
                </c:pt>
                <c:pt idx="4">
                  <c:v>2018 (307 osób)</c:v>
                </c:pt>
              </c:strCache>
            </c:strRef>
          </c:cat>
          <c:val>
            <c:numRef>
              <c:f>Arkusz1!$D$3:$D$7</c:f>
              <c:numCache>
                <c:formatCode>General</c:formatCode>
                <c:ptCount val="5"/>
                <c:pt idx="0">
                  <c:v>128</c:v>
                </c:pt>
                <c:pt idx="1">
                  <c:v>220</c:v>
                </c:pt>
                <c:pt idx="2">
                  <c:v>204</c:v>
                </c:pt>
                <c:pt idx="3">
                  <c:v>237</c:v>
                </c:pt>
                <c:pt idx="4">
                  <c:v>287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7146624"/>
        <c:axId val="107148416"/>
        <c:axId val="0"/>
      </c:bar3DChart>
      <c:catAx>
        <c:axId val="107146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148416"/>
        <c:crosses val="autoZero"/>
        <c:auto val="1"/>
        <c:lblAlgn val="ctr"/>
        <c:lblOffset val="100"/>
        <c:noMultiLvlLbl val="0"/>
      </c:catAx>
      <c:valAx>
        <c:axId val="1071484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71466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Dzieci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2014 (186 osób)</c:v>
                </c:pt>
                <c:pt idx="1">
                  <c:v>2015 (334 osoby)</c:v>
                </c:pt>
                <c:pt idx="2">
                  <c:v>2016 (333 osoby)</c:v>
                </c:pt>
                <c:pt idx="3">
                  <c:v>2017 (429 osób)</c:v>
                </c:pt>
                <c:pt idx="4">
                  <c:v>2018 (414 osób)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40</c:v>
                </c:pt>
                <c:pt idx="1">
                  <c:v>67</c:v>
                </c:pt>
                <c:pt idx="2">
                  <c:v>66</c:v>
                </c:pt>
                <c:pt idx="3">
                  <c:v>129</c:v>
                </c:pt>
                <c:pt idx="4">
                  <c:v>83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2014 (186 osób)</c:v>
                </c:pt>
                <c:pt idx="1">
                  <c:v>2015 (334 osoby)</c:v>
                </c:pt>
                <c:pt idx="2">
                  <c:v>2016 (333 osoby)</c:v>
                </c:pt>
                <c:pt idx="3">
                  <c:v>2017 (429 osób)</c:v>
                </c:pt>
                <c:pt idx="4">
                  <c:v>2018 (414 osób)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129</c:v>
                </c:pt>
                <c:pt idx="1">
                  <c:v>221</c:v>
                </c:pt>
                <c:pt idx="2">
                  <c:v>214</c:v>
                </c:pt>
                <c:pt idx="3">
                  <c:v>253</c:v>
                </c:pt>
                <c:pt idx="4">
                  <c:v>298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Mężczyźni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2014 (186 osób)</c:v>
                </c:pt>
                <c:pt idx="1">
                  <c:v>2015 (334 osoby)</c:v>
                </c:pt>
                <c:pt idx="2">
                  <c:v>2016 (333 osoby)</c:v>
                </c:pt>
                <c:pt idx="3">
                  <c:v>2017 (429 osób)</c:v>
                </c:pt>
                <c:pt idx="4">
                  <c:v>2018 (414 osób)</c:v>
                </c:pt>
              </c:strCache>
            </c:strRef>
          </c:cat>
          <c:val>
            <c:numRef>
              <c:f>Arkusz1!$D$2:$D$6</c:f>
              <c:numCache>
                <c:formatCode>General</c:formatCode>
                <c:ptCount val="5"/>
                <c:pt idx="0">
                  <c:v>17</c:v>
                </c:pt>
                <c:pt idx="1">
                  <c:v>46</c:v>
                </c:pt>
                <c:pt idx="2">
                  <c:v>53</c:v>
                </c:pt>
                <c:pt idx="3">
                  <c:v>47</c:v>
                </c:pt>
                <c:pt idx="4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7186816"/>
        <c:axId val="107192704"/>
        <c:axId val="0"/>
      </c:bar3DChart>
      <c:catAx>
        <c:axId val="107186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192704"/>
        <c:crosses val="autoZero"/>
        <c:auto val="1"/>
        <c:lblAlgn val="ctr"/>
        <c:lblOffset val="100"/>
        <c:noMultiLvlLbl val="0"/>
      </c:catAx>
      <c:valAx>
        <c:axId val="107192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71868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A98F99BD984D2F9784428301E55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CC5C45-02F1-4AE2-ACD7-67AC7D2B0774}"/>
      </w:docPartPr>
      <w:docPartBody>
        <w:p w:rsidR="00000000" w:rsidRDefault="003D2331" w:rsidP="003D2331">
          <w:pPr>
            <w:pStyle w:val="11A98F99BD984D2F9784428301E552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31"/>
    <w:rsid w:val="003D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50F1850461A47C79C38C781116665F6">
    <w:name w:val="250F1850461A47C79C38C781116665F6"/>
    <w:rsid w:val="003D2331"/>
  </w:style>
  <w:style w:type="paragraph" w:customStyle="1" w:styleId="88D10DEA3FBC41B7A53023EE569AFF05">
    <w:name w:val="88D10DEA3FBC41B7A53023EE569AFF05"/>
    <w:rsid w:val="003D2331"/>
  </w:style>
  <w:style w:type="paragraph" w:customStyle="1" w:styleId="7196E349E8404A0AA866E6934E9461C4">
    <w:name w:val="7196E349E8404A0AA866E6934E9461C4"/>
    <w:rsid w:val="003D2331"/>
  </w:style>
  <w:style w:type="paragraph" w:customStyle="1" w:styleId="11A98F99BD984D2F9784428301E5529C">
    <w:name w:val="11A98F99BD984D2F9784428301E5529C"/>
    <w:rsid w:val="003D2331"/>
  </w:style>
  <w:style w:type="paragraph" w:customStyle="1" w:styleId="1B339841EF634F4D9B6317184ADB143B">
    <w:name w:val="1B339841EF634F4D9B6317184ADB143B"/>
    <w:rsid w:val="003D2331"/>
  </w:style>
  <w:style w:type="paragraph" w:customStyle="1" w:styleId="1C0EB1447C86428883B7B0CCEC056B1C">
    <w:name w:val="1C0EB1447C86428883B7B0CCEC056B1C"/>
    <w:rsid w:val="003D2331"/>
  </w:style>
  <w:style w:type="paragraph" w:customStyle="1" w:styleId="07ACD3E02DDD4094933744E0EF7F8FA8">
    <w:name w:val="07ACD3E02DDD4094933744E0EF7F8FA8"/>
    <w:rsid w:val="003D2331"/>
  </w:style>
  <w:style w:type="paragraph" w:customStyle="1" w:styleId="0A8F4731895E4BE9AD507F43A3E3115E">
    <w:name w:val="0A8F4731895E4BE9AD507F43A3E3115E"/>
    <w:rsid w:val="003D2331"/>
  </w:style>
  <w:style w:type="paragraph" w:customStyle="1" w:styleId="038875247160405C9A4C240BBE410D07">
    <w:name w:val="038875247160405C9A4C240BBE410D07"/>
    <w:rsid w:val="003D23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50F1850461A47C79C38C781116665F6">
    <w:name w:val="250F1850461A47C79C38C781116665F6"/>
    <w:rsid w:val="003D2331"/>
  </w:style>
  <w:style w:type="paragraph" w:customStyle="1" w:styleId="88D10DEA3FBC41B7A53023EE569AFF05">
    <w:name w:val="88D10DEA3FBC41B7A53023EE569AFF05"/>
    <w:rsid w:val="003D2331"/>
  </w:style>
  <w:style w:type="paragraph" w:customStyle="1" w:styleId="7196E349E8404A0AA866E6934E9461C4">
    <w:name w:val="7196E349E8404A0AA866E6934E9461C4"/>
    <w:rsid w:val="003D2331"/>
  </w:style>
  <w:style w:type="paragraph" w:customStyle="1" w:styleId="11A98F99BD984D2F9784428301E5529C">
    <w:name w:val="11A98F99BD984D2F9784428301E5529C"/>
    <w:rsid w:val="003D2331"/>
  </w:style>
  <w:style w:type="paragraph" w:customStyle="1" w:styleId="1B339841EF634F4D9B6317184ADB143B">
    <w:name w:val="1B339841EF634F4D9B6317184ADB143B"/>
    <w:rsid w:val="003D2331"/>
  </w:style>
  <w:style w:type="paragraph" w:customStyle="1" w:styleId="1C0EB1447C86428883B7B0CCEC056B1C">
    <w:name w:val="1C0EB1447C86428883B7B0CCEC056B1C"/>
    <w:rsid w:val="003D2331"/>
  </w:style>
  <w:style w:type="paragraph" w:customStyle="1" w:styleId="07ACD3E02DDD4094933744E0EF7F8FA8">
    <w:name w:val="07ACD3E02DDD4094933744E0EF7F8FA8"/>
    <w:rsid w:val="003D2331"/>
  </w:style>
  <w:style w:type="paragraph" w:customStyle="1" w:styleId="0A8F4731895E4BE9AD507F43A3E3115E">
    <w:name w:val="0A8F4731895E4BE9AD507F43A3E3115E"/>
    <w:rsid w:val="003D2331"/>
  </w:style>
  <w:style w:type="paragraph" w:customStyle="1" w:styleId="038875247160405C9A4C240BBE410D07">
    <w:name w:val="038875247160405C9A4C240BBE410D07"/>
    <w:rsid w:val="003D23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BC6CF-A91D-464F-8158-45D393A4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1541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Zjawisko przemocy w rodzinie w roku 2018 w praktyce zespołów interdyscyplinarnych z powiatu tomaszowskiego</vt:lpstr>
    </vt:vector>
  </TitlesOfParts>
  <Company>Ośrodek Interwencji Kryzysowej w Tomaszowie Lubelskim</Company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Zjawisko przemocy w rodzinie w roku 2018 w praktyce zespołów interdyscyplinarnych z powiatu tomaszowskiego</dc:title>
  <dc:subject>diagnoza przemocy w 2018 roku</dc:subject>
  <dc:creator>Ośrodek Interwencji Kryzysowej w Tomaszowie Lubelskim</dc:creator>
  <cp:lastModifiedBy>win</cp:lastModifiedBy>
  <cp:revision>2</cp:revision>
  <cp:lastPrinted>2019-06-06T10:00:00Z</cp:lastPrinted>
  <dcterms:created xsi:type="dcterms:W3CDTF">2019-06-12T06:53:00Z</dcterms:created>
  <dcterms:modified xsi:type="dcterms:W3CDTF">2019-06-12T06:53:00Z</dcterms:modified>
</cp:coreProperties>
</file>